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BE8A0" w14:textId="77777777" w:rsidR="003C2480" w:rsidRPr="003A35E1" w:rsidRDefault="002B1878">
      <w:pPr>
        <w:spacing w:before="120" w:after="120"/>
        <w:jc w:val="center"/>
        <w:rPr>
          <w:rFonts w:ascii="Verdana" w:hAnsi="Verdana" w:cs="Times New Roman"/>
          <w:b/>
          <w:sz w:val="20"/>
          <w:szCs w:val="20"/>
        </w:rPr>
      </w:pPr>
      <w:r w:rsidRPr="003A35E1">
        <w:rPr>
          <w:rFonts w:ascii="Verdana" w:hAnsi="Verdana" w:cs="Times New Roman"/>
          <w:b/>
          <w:sz w:val="20"/>
          <w:szCs w:val="20"/>
        </w:rPr>
        <w:t>Параметри на гаранционната схема</w:t>
      </w:r>
      <w:r w:rsidR="003C2480" w:rsidRPr="003A35E1">
        <w:rPr>
          <w:rFonts w:ascii="Verdana" w:hAnsi="Verdana" w:cs="Times New Roman"/>
          <w:b/>
          <w:sz w:val="20"/>
          <w:szCs w:val="20"/>
        </w:rPr>
        <w:t xml:space="preserve"> за собствен риск</w:t>
      </w:r>
      <w:r w:rsidRPr="003A35E1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6C77FF7D" w14:textId="77777777" w:rsidR="0059424C" w:rsidRPr="003A35E1" w:rsidRDefault="003C2480">
      <w:pPr>
        <w:spacing w:before="120" w:after="120"/>
        <w:jc w:val="center"/>
        <w:rPr>
          <w:rFonts w:ascii="Verdana" w:hAnsi="Verdana" w:cs="Times New Roman"/>
          <w:b/>
          <w:sz w:val="20"/>
          <w:szCs w:val="20"/>
        </w:rPr>
      </w:pPr>
      <w:r w:rsidRPr="003A35E1">
        <w:rPr>
          <w:rFonts w:ascii="Verdana" w:hAnsi="Verdana" w:cs="Times New Roman"/>
          <w:b/>
          <w:sz w:val="20"/>
          <w:szCs w:val="20"/>
        </w:rPr>
        <w:t>(„</w:t>
      </w:r>
      <w:r w:rsidR="002B1878" w:rsidRPr="003A35E1">
        <w:rPr>
          <w:rFonts w:ascii="Verdana" w:hAnsi="Verdana" w:cs="Times New Roman"/>
          <w:b/>
          <w:sz w:val="20"/>
          <w:szCs w:val="20"/>
        </w:rPr>
        <w:t>НГФ</w:t>
      </w:r>
      <w:r w:rsidRPr="003A35E1">
        <w:rPr>
          <w:rFonts w:ascii="Verdana" w:hAnsi="Verdana" w:cs="Times New Roman"/>
          <w:b/>
          <w:sz w:val="20"/>
          <w:szCs w:val="20"/>
        </w:rPr>
        <w:t>-</w:t>
      </w:r>
      <w:r w:rsidR="001B57D8" w:rsidRPr="003A35E1">
        <w:rPr>
          <w:rFonts w:ascii="Verdana" w:hAnsi="Verdana" w:cs="Times New Roman"/>
          <w:b/>
          <w:sz w:val="20"/>
          <w:szCs w:val="20"/>
        </w:rPr>
        <w:t>20</w:t>
      </w:r>
      <w:r w:rsidR="00F64236" w:rsidRPr="003A35E1">
        <w:rPr>
          <w:rFonts w:ascii="Verdana" w:hAnsi="Verdana" w:cs="Times New Roman"/>
          <w:b/>
          <w:sz w:val="20"/>
          <w:szCs w:val="20"/>
        </w:rPr>
        <w:t>2</w:t>
      </w:r>
      <w:r w:rsidR="00EF5812" w:rsidRPr="003A35E1">
        <w:rPr>
          <w:rFonts w:ascii="Verdana" w:hAnsi="Verdana" w:cs="Times New Roman"/>
          <w:b/>
          <w:sz w:val="20"/>
          <w:szCs w:val="20"/>
          <w:lang w:val="en-US"/>
        </w:rPr>
        <w:t>2</w:t>
      </w:r>
      <w:r w:rsidRPr="003A35E1">
        <w:rPr>
          <w:rFonts w:ascii="Verdana" w:hAnsi="Verdana" w:cs="Times New Roman"/>
          <w:b/>
          <w:sz w:val="20"/>
          <w:szCs w:val="20"/>
        </w:rPr>
        <w:t>“)</w:t>
      </w:r>
    </w:p>
    <w:p w14:paraId="5291558C" w14:textId="77777777" w:rsidR="00DC46FB" w:rsidRPr="003A35E1" w:rsidRDefault="00DC46FB" w:rsidP="005061C0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14:paraId="2C8BC56F" w14:textId="77777777" w:rsidR="00E9381F" w:rsidRPr="003A35E1" w:rsidRDefault="005061C0" w:rsidP="00DC46FB">
      <w:pPr>
        <w:pStyle w:val="ListParagraph"/>
        <w:numPr>
          <w:ilvl w:val="0"/>
          <w:numId w:val="16"/>
        </w:numPr>
        <w:spacing w:before="120" w:after="120"/>
        <w:rPr>
          <w:rFonts w:ascii="Verdana" w:hAnsi="Verdana" w:cs="Times New Roman"/>
          <w:b/>
          <w:sz w:val="20"/>
          <w:szCs w:val="20"/>
        </w:rPr>
      </w:pPr>
      <w:r w:rsidRPr="003A35E1">
        <w:rPr>
          <w:rFonts w:ascii="Verdana" w:hAnsi="Verdana" w:cs="Times New Roman"/>
          <w:b/>
          <w:sz w:val="20"/>
          <w:szCs w:val="20"/>
        </w:rPr>
        <w:t>Общи положения и основни параметри</w:t>
      </w:r>
    </w:p>
    <w:tbl>
      <w:tblPr>
        <w:tblpPr w:leftFromText="180" w:rightFromText="180" w:vertAnchor="text" w:tblpXSpec="right" w:tblpY="1"/>
        <w:tblOverlap w:val="never"/>
        <w:tblW w:w="9639" w:type="dxa"/>
        <w:tblBorders>
          <w:top w:val="single" w:sz="4" w:space="0" w:color="000000"/>
          <w:bottom w:val="single" w:sz="4" w:space="0" w:color="auto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7029"/>
      </w:tblGrid>
      <w:tr w:rsidR="00B441BF" w:rsidRPr="003A35E1" w14:paraId="7C4F5678" w14:textId="77777777" w:rsidTr="003B0CFF">
        <w:trPr>
          <w:trHeight w:val="898"/>
        </w:trPr>
        <w:tc>
          <w:tcPr>
            <w:tcW w:w="2610" w:type="dxa"/>
          </w:tcPr>
          <w:p w14:paraId="09220A8B" w14:textId="77777777" w:rsidR="002B1878" w:rsidRPr="003A35E1" w:rsidRDefault="001B57D8" w:rsidP="00AD59A3">
            <w:pPr>
              <w:spacing w:before="60" w:after="60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Цел на гаранционната схема</w:t>
            </w:r>
            <w:r w:rsidR="00BE0B06"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и инструмент </w:t>
            </w:r>
          </w:p>
        </w:tc>
        <w:tc>
          <w:tcPr>
            <w:tcW w:w="7029" w:type="dxa"/>
          </w:tcPr>
          <w:p w14:paraId="79FB3A74" w14:textId="77777777" w:rsidR="0059424C" w:rsidRPr="003A35E1" w:rsidRDefault="001B57D8" w:rsidP="00AD59A3">
            <w:pPr>
              <w:spacing w:before="60" w:after="60"/>
              <w:jc w:val="both"/>
              <w:textAlignment w:val="center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Целта на гаранционната схема е да улесни достъпа на МСП до </w:t>
            </w:r>
            <w:r w:rsidR="00A65A1F" w:rsidRPr="003A35E1">
              <w:rPr>
                <w:rFonts w:ascii="Verdana" w:hAnsi="Verdana" w:cs="Times New Roman"/>
                <w:sz w:val="20"/>
                <w:szCs w:val="20"/>
              </w:rPr>
              <w:t xml:space="preserve">банково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финансиране посредством </w:t>
            </w:r>
            <w:r w:rsidR="00A65A1F" w:rsidRPr="003A35E1">
              <w:rPr>
                <w:rFonts w:ascii="Verdana" w:hAnsi="Verdana" w:cs="Times New Roman"/>
                <w:sz w:val="20"/>
                <w:szCs w:val="20"/>
              </w:rPr>
              <w:t xml:space="preserve">издаване на </w:t>
            </w:r>
            <w:r w:rsidR="00BE0B06" w:rsidRPr="003A35E1">
              <w:rPr>
                <w:rFonts w:ascii="Verdana" w:hAnsi="Verdana" w:cs="Times New Roman"/>
                <w:sz w:val="20"/>
                <w:szCs w:val="20"/>
              </w:rPr>
              <w:t xml:space="preserve">инструмент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за споделяне на </w:t>
            </w:r>
            <w:r w:rsidR="00BE0B06" w:rsidRPr="003A35E1">
              <w:rPr>
                <w:rFonts w:ascii="Verdana" w:hAnsi="Verdana" w:cs="Times New Roman"/>
                <w:sz w:val="20"/>
                <w:szCs w:val="20"/>
              </w:rPr>
              <w:t xml:space="preserve">кредитния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риск.</w:t>
            </w:r>
          </w:p>
          <w:p w14:paraId="35FE6AAE" w14:textId="77777777" w:rsidR="0059424C" w:rsidRPr="003A35E1" w:rsidRDefault="001B57D8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„Национален гаранционен фонд” ЕАД (НГФ/Фонда) издава </w:t>
            </w:r>
            <w:r w:rsidR="00F3465C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портфейлна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гаранция</w:t>
            </w:r>
            <w:r w:rsidR="00F3465C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в полза на избрани търговски банки в страната, която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допълва обезпечението</w:t>
            </w: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62240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по </w:t>
            </w:r>
            <w:r w:rsidR="00D4521E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новоотпуснати </w:t>
            </w:r>
            <w:r w:rsidR="00F62240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кредити</w:t>
            </w:r>
            <w:r w:rsidR="00D4521E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на МСП</w:t>
            </w:r>
            <w:r w:rsidR="00B20EB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в рамките на договорени условия по гарантиран </w:t>
            </w:r>
            <w:r w:rsidR="00CF1A7A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от Фонда </w:t>
            </w:r>
            <w:r w:rsidR="00B20EB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портфейл</w:t>
            </w:r>
            <w:r w:rsidR="00CF1A7A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(под-портфейл) на съответната банка</w:t>
            </w:r>
            <w:r w:rsidR="004C4DE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.</w:t>
            </w:r>
            <w:r w:rsidR="00CF1A7A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C3F13" w:rsidRPr="003A35E1" w14:paraId="423BEC97" w14:textId="77777777" w:rsidTr="003B0CFF">
        <w:trPr>
          <w:trHeight w:val="391"/>
        </w:trPr>
        <w:tc>
          <w:tcPr>
            <w:tcW w:w="2610" w:type="dxa"/>
          </w:tcPr>
          <w:p w14:paraId="0AB541D1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Процедура за избор на банки-партньори </w:t>
            </w:r>
          </w:p>
        </w:tc>
        <w:tc>
          <w:tcPr>
            <w:tcW w:w="7029" w:type="dxa"/>
          </w:tcPr>
          <w:p w14:paraId="66AAAB17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Включва: </w:t>
            </w:r>
          </w:p>
          <w:p w14:paraId="3C728C17" w14:textId="77777777" w:rsidR="007C3550" w:rsidRPr="003A35E1" w:rsidRDefault="007C3550" w:rsidP="00AD59A3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покана до всички търговски банки в страната</w:t>
            </w:r>
            <w:r w:rsidR="00665EDD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;</w:t>
            </w:r>
          </w:p>
          <w:p w14:paraId="11751611" w14:textId="77777777" w:rsidR="00DC3F13" w:rsidRPr="003A35E1" w:rsidRDefault="007C3550" w:rsidP="00AD59A3">
            <w:pPr>
              <w:pStyle w:val="Default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определяне на индивидуален лимит</w:t>
            </w:r>
            <w:r w:rsidR="00E808FD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за съответната банка</w:t>
            </w:r>
            <w:r w:rsidR="003C2480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,</w:t>
            </w:r>
            <w:r w:rsidR="009835E9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въз основа на заявен интерес,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размер на кредитния портфейл към МСП </w:t>
            </w:r>
            <w:r w:rsidR="009835E9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и </w:t>
            </w:r>
            <w:r w:rsidR="00390FF7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преценка на възможността</w:t>
            </w:r>
            <w:r w:rsidR="009835E9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за изпълнение на заявените портфейли.</w:t>
            </w:r>
          </w:p>
          <w:p w14:paraId="53DC3722" w14:textId="77777777" w:rsidR="00DC3F13" w:rsidRPr="003A35E1" w:rsidRDefault="00CF1A7A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Възможно е подаването на заявления за всеки един от под-портфейлите или за част от тях</w:t>
            </w: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)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. </w:t>
            </w:r>
          </w:p>
        </w:tc>
      </w:tr>
      <w:tr w:rsidR="00DC3F13" w:rsidRPr="003A35E1" w14:paraId="423400F2" w14:textId="77777777" w:rsidTr="003B0CFF">
        <w:trPr>
          <w:trHeight w:val="391"/>
        </w:trPr>
        <w:tc>
          <w:tcPr>
            <w:tcW w:w="2610" w:type="dxa"/>
          </w:tcPr>
          <w:p w14:paraId="0FF04383" w14:textId="77777777" w:rsidR="003B0CFF" w:rsidRPr="003A35E1" w:rsidRDefault="00E808FD" w:rsidP="009835E9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Индивидуален лимит </w:t>
            </w:r>
          </w:p>
          <w:p w14:paraId="0F5AA639" w14:textId="77777777" w:rsidR="00DC3F13" w:rsidRPr="003A35E1" w:rsidRDefault="00E808FD" w:rsidP="009835E9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(</w:t>
            </w:r>
            <w:r w:rsidR="00DC3F13"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на ниво банка</w:t>
            </w: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)</w:t>
            </w:r>
            <w:r w:rsidR="00DC3F13"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29" w:type="dxa"/>
          </w:tcPr>
          <w:p w14:paraId="23A7A3F0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Минимален </w:t>
            </w:r>
            <w:r w:rsidR="009835E9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гарантиран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портфейл</w:t>
            </w:r>
            <w:r w:rsidR="00C80D6F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5 млн. лв.</w:t>
            </w:r>
          </w:p>
          <w:p w14:paraId="7148EFBF" w14:textId="77777777" w:rsidR="00DC3F13" w:rsidRDefault="00DC3F13" w:rsidP="008840F0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Максимален</w:t>
            </w:r>
            <w:r w:rsidR="009835E9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 гарантиран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портфейл</w:t>
            </w:r>
            <w:r w:rsidR="00C80D6F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: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="008840F0">
              <w:rPr>
                <w:rFonts w:ascii="Verdana" w:hAnsi="Verdana" w:cs="Times New Roman"/>
                <w:color w:val="auto"/>
                <w:sz w:val="20"/>
                <w:szCs w:val="20"/>
              </w:rPr>
              <w:t>10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0 млн. лв.</w:t>
            </w:r>
          </w:p>
          <w:p w14:paraId="1622701F" w14:textId="77777777" w:rsidR="008840F0" w:rsidRPr="003A35E1" w:rsidRDefault="008840F0" w:rsidP="008840F0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Гаранционният лимит подлежи на преразглеждане от страна на НГФ след първите 18 месеца от датата на подписване на гаранционното споразумение със съответната банка на база запълване на портфейла.</w:t>
            </w:r>
          </w:p>
        </w:tc>
      </w:tr>
      <w:tr w:rsidR="00DC3F13" w:rsidRPr="003A35E1" w14:paraId="191BFDA0" w14:textId="77777777" w:rsidTr="003B0CFF">
        <w:trPr>
          <w:trHeight w:val="658"/>
        </w:trPr>
        <w:tc>
          <w:tcPr>
            <w:tcW w:w="2610" w:type="dxa"/>
          </w:tcPr>
          <w:p w14:paraId="601519C8" w14:textId="77777777" w:rsidR="00DC3F13" w:rsidRPr="003A35E1" w:rsidRDefault="00C80D6F" w:rsidP="009835E9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Гаранционен л</w:t>
            </w:r>
            <w:r w:rsidR="008606A3"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имит на</w:t>
            </w: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кредитополучател </w:t>
            </w:r>
          </w:p>
        </w:tc>
        <w:tc>
          <w:tcPr>
            <w:tcW w:w="7029" w:type="dxa"/>
          </w:tcPr>
          <w:p w14:paraId="248AEDA4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Гаранционния</w:t>
            </w:r>
            <w:r w:rsidR="005061C0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т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лимит на кредитополучател и Свързаните</w:t>
            </w:r>
            <w:r w:rsidR="00F2066E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*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с него лица е</w:t>
            </w: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до 2 </w:t>
            </w:r>
            <w:r w:rsidR="00F05D31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млн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. лв</w:t>
            </w:r>
            <w:r w:rsidR="006649BB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.</w:t>
            </w:r>
            <w:r w:rsidR="009835E9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към съответната банка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.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</w:p>
          <w:p w14:paraId="00CB7A35" w14:textId="77777777" w:rsidR="00F05D31" w:rsidRPr="003A35E1" w:rsidRDefault="00F2066E" w:rsidP="00AD59A3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(</w:t>
            </w:r>
            <w:r w:rsidR="005061C0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*</w:t>
            </w:r>
            <w:r w:rsidR="003B0CFF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Свързано лице е лице по смисъла на §1, т.5 от Допълнителните разпоредби на Закона за кредитните институции, както и други лица, които банката-партньор счита за свързани съгласно вътрешните си правила и процедури).</w:t>
            </w:r>
          </w:p>
        </w:tc>
      </w:tr>
      <w:tr w:rsidR="00DC3F13" w:rsidRPr="003A35E1" w14:paraId="1E554E78" w14:textId="77777777" w:rsidTr="003B0CFF">
        <w:trPr>
          <w:trHeight w:val="658"/>
        </w:trPr>
        <w:tc>
          <w:tcPr>
            <w:tcW w:w="2610" w:type="dxa"/>
          </w:tcPr>
          <w:p w14:paraId="61DDA9B5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Максимална експозиция</w:t>
            </w:r>
            <w:r w:rsidR="00C80D6F"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към кредитополучател</w:t>
            </w:r>
          </w:p>
        </w:tc>
        <w:tc>
          <w:tcPr>
            <w:tcW w:w="7029" w:type="dxa"/>
          </w:tcPr>
          <w:p w14:paraId="0FC46E25" w14:textId="77777777" w:rsidR="00F05D31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Допустимата обща кредитна експозиция на кредитополучател и Свързаните с него лица е</w:t>
            </w: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до 5 </w:t>
            </w:r>
            <w:r w:rsidR="00F76DF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млн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. лв., включително </w:t>
            </w:r>
            <w:r w:rsidR="00F76DF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по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новоразрешени кредити.</w:t>
            </w:r>
          </w:p>
          <w:p w14:paraId="7DC23417" w14:textId="77777777" w:rsidR="00DC3F13" w:rsidRPr="003A35E1" w:rsidRDefault="00C80D6F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Изключение е допустимо при искане за гарантиране на грантови проекти по ОП на ЕС или проекти за ВЕИ</w:t>
            </w: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)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C3F13" w:rsidRPr="003A35E1" w14:paraId="72A4F6CB" w14:textId="77777777" w:rsidTr="003B0CFF">
        <w:trPr>
          <w:trHeight w:val="310"/>
        </w:trPr>
        <w:tc>
          <w:tcPr>
            <w:tcW w:w="2610" w:type="dxa"/>
          </w:tcPr>
          <w:p w14:paraId="49B00BAA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Тип гаранция</w:t>
            </w:r>
          </w:p>
        </w:tc>
        <w:tc>
          <w:tcPr>
            <w:tcW w:w="7029" w:type="dxa"/>
          </w:tcPr>
          <w:p w14:paraId="01BC49D6" w14:textId="7A208AD3" w:rsidR="00E94256" w:rsidRPr="006649BB" w:rsidRDefault="00665EDD" w:rsidP="00AD59A3">
            <w:pPr>
              <w:pStyle w:val="Default"/>
              <w:spacing w:before="60" w:after="60" w:line="276" w:lineRule="auto"/>
              <w:jc w:val="both"/>
              <w:rPr>
                <w:sz w:val="22"/>
                <w:szCs w:val="22"/>
                <w:lang w:val="ru-RU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Споделен риск</w:t>
            </w:r>
            <w:r w:rsidR="00112BFD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="00112BFD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F76DF3"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P</w:t>
            </w:r>
            <w:r w:rsidR="00DC3F13"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ari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C3F13"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pas</w:t>
            </w:r>
            <w:r w:rsidR="00C91504"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s</w:t>
            </w:r>
            <w:r w:rsidR="00DC3F13"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u</w:t>
            </w:r>
            <w:proofErr w:type="spellEnd"/>
            <w:r w:rsidR="00112BFD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)</w:t>
            </w:r>
            <w:r w:rsidR="00C847DE" w:rsidRPr="00A0283E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-</w:t>
            </w:r>
            <w:r w:rsidR="00E23352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="00E23352" w:rsidRPr="00CD310E">
              <w:rPr>
                <w:sz w:val="22"/>
                <w:szCs w:val="22"/>
              </w:rPr>
              <w:t>гаранции, при които Фонд</w:t>
            </w:r>
            <w:r w:rsidR="00405117">
              <w:rPr>
                <w:sz w:val="22"/>
                <w:szCs w:val="22"/>
              </w:rPr>
              <w:t>ът</w:t>
            </w:r>
            <w:r w:rsidR="00E23352" w:rsidRPr="00CD310E">
              <w:rPr>
                <w:sz w:val="22"/>
                <w:szCs w:val="22"/>
              </w:rPr>
              <w:t xml:space="preserve"> и </w:t>
            </w:r>
            <w:r w:rsidR="00E23352">
              <w:rPr>
                <w:sz w:val="22"/>
                <w:szCs w:val="22"/>
              </w:rPr>
              <w:t>б</w:t>
            </w:r>
            <w:r w:rsidR="00E23352" w:rsidRPr="00CD310E">
              <w:rPr>
                <w:sz w:val="22"/>
                <w:szCs w:val="22"/>
              </w:rPr>
              <w:t>анката</w:t>
            </w:r>
            <w:r w:rsidR="00E23352">
              <w:rPr>
                <w:sz w:val="22"/>
                <w:szCs w:val="22"/>
              </w:rPr>
              <w:t>-партньор</w:t>
            </w:r>
            <w:r w:rsidR="00E23352" w:rsidRPr="00CD310E">
              <w:rPr>
                <w:sz w:val="22"/>
                <w:szCs w:val="22"/>
              </w:rPr>
              <w:t xml:space="preserve"> са равнопоставени по отношение на възстановяване на суми</w:t>
            </w:r>
            <w:r w:rsidR="00E94256" w:rsidRPr="006649BB">
              <w:rPr>
                <w:sz w:val="22"/>
                <w:szCs w:val="22"/>
                <w:lang w:val="ru-RU"/>
              </w:rPr>
              <w:t>.</w:t>
            </w:r>
          </w:p>
          <w:p w14:paraId="2F693863" w14:textId="75EF300B" w:rsidR="00112BFD" w:rsidRPr="003A35E1" w:rsidRDefault="00A01DEE" w:rsidP="005E0B02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„Първа загуба“ </w:t>
            </w: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First</w:t>
            </w: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847D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  <w:lang w:val="fr-FR"/>
              </w:rPr>
              <w:t>loss</w:t>
            </w:r>
            <w:proofErr w:type="spellEnd"/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) – </w:t>
            </w:r>
            <w:r w:rsidR="00E23352" w:rsidRPr="00E23352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E23352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единствено </w:t>
            </w:r>
            <w:r w:rsidRPr="00A0283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з</w:t>
            </w:r>
            <w:r w:rsidR="00DC3F13" w:rsidRPr="00A0283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а кредити</w:t>
            </w:r>
            <w:r w:rsidR="00112BFD" w:rsidRPr="00A0283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,</w:t>
            </w:r>
            <w:r w:rsidR="00DC3F13" w:rsidRPr="00A0283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 отпускани на предприятия с НКИД–79</w:t>
            </w:r>
            <w:r w:rsidR="005E0B02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- </w:t>
            </w:r>
            <w:r w:rsidR="005E0B02">
              <w:t xml:space="preserve"> </w:t>
            </w:r>
            <w:r w:rsidR="005E0B02" w:rsidRPr="005E0B02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Туристическа агентска и </w:t>
            </w:r>
            <w:r w:rsidR="005E0B02" w:rsidRPr="005E0B02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lastRenderedPageBreak/>
              <w:t>операторска дейност; други дейности, свързани с пътувания и резервации</w:t>
            </w:r>
            <w:r w:rsidRPr="00A0283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,</w:t>
            </w:r>
            <w:r w:rsidR="00E23352" w:rsidRPr="00A0283E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)</w:t>
            </w:r>
            <w:r w:rsidR="00E23352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="00C847DE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– </w:t>
            </w:r>
            <w:r w:rsidR="00E23352" w:rsidRPr="00CD310E">
              <w:rPr>
                <w:sz w:val="22"/>
                <w:szCs w:val="22"/>
              </w:rPr>
              <w:t xml:space="preserve"> гаранции, при които </w:t>
            </w:r>
            <w:r w:rsidR="00E23352">
              <w:rPr>
                <w:sz w:val="22"/>
                <w:szCs w:val="22"/>
              </w:rPr>
              <w:t>б</w:t>
            </w:r>
            <w:r w:rsidR="00E23352" w:rsidRPr="00CD310E">
              <w:rPr>
                <w:sz w:val="22"/>
                <w:szCs w:val="22"/>
              </w:rPr>
              <w:t>анката</w:t>
            </w:r>
            <w:r w:rsidR="00E23352">
              <w:rPr>
                <w:sz w:val="22"/>
                <w:szCs w:val="22"/>
              </w:rPr>
              <w:t>-партньор</w:t>
            </w:r>
            <w:r w:rsidR="00E23352" w:rsidRPr="00CD310E">
              <w:rPr>
                <w:sz w:val="22"/>
                <w:szCs w:val="22"/>
              </w:rPr>
              <w:t xml:space="preserve"> </w:t>
            </w:r>
            <w:r w:rsidR="00E23352">
              <w:rPr>
                <w:sz w:val="22"/>
                <w:szCs w:val="22"/>
              </w:rPr>
              <w:t>има право да се удовлетвори</w:t>
            </w:r>
            <w:r w:rsidR="00E23352" w:rsidRPr="00CD310E">
              <w:rPr>
                <w:sz w:val="22"/>
                <w:szCs w:val="22"/>
              </w:rPr>
              <w:t xml:space="preserve"> </w:t>
            </w:r>
            <w:r w:rsidR="00E23352">
              <w:rPr>
                <w:sz w:val="22"/>
                <w:szCs w:val="22"/>
              </w:rPr>
              <w:t xml:space="preserve">с предимство </w:t>
            </w:r>
            <w:r w:rsidR="00E23352" w:rsidRPr="00CD310E">
              <w:rPr>
                <w:sz w:val="22"/>
                <w:szCs w:val="22"/>
              </w:rPr>
              <w:t>по отношение на възстановяване на суми</w:t>
            </w:r>
            <w:r w:rsidR="00E94256">
              <w:rPr>
                <w:sz w:val="22"/>
                <w:szCs w:val="22"/>
              </w:rPr>
              <w:t>.</w:t>
            </w:r>
            <w:r w:rsidR="00E23352" w:rsidRPr="00CD310E">
              <w:rPr>
                <w:sz w:val="22"/>
                <w:szCs w:val="22"/>
              </w:rPr>
              <w:t xml:space="preserve"> </w:t>
            </w:r>
          </w:p>
        </w:tc>
      </w:tr>
      <w:tr w:rsidR="00DC3F13" w:rsidRPr="003A35E1" w14:paraId="1340E73D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3D9CCFDE" w14:textId="74130B1B" w:rsidR="00DC3F13" w:rsidRPr="003A35E1" w:rsidRDefault="00BC41D9" w:rsidP="00BC41D9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lastRenderedPageBreak/>
              <w:t>Индикативни г</w:t>
            </w:r>
            <w:r w:rsidR="00DC3F13"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аранционни такси</w:t>
            </w:r>
          </w:p>
        </w:tc>
        <w:tc>
          <w:tcPr>
            <w:tcW w:w="7029" w:type="dxa"/>
          </w:tcPr>
          <w:p w14:paraId="43DF56E2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Гаранционните такси се заплащат тримесечно от банката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на портфейлна основа върху </w:t>
            </w:r>
            <w:r w:rsidR="00AD59A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р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азмера на гарантирания </w:t>
            </w:r>
            <w:r w:rsidR="00112BFD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портфейл (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под-пор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тфейл</w:t>
            </w:r>
            <w:r w:rsidR="00112BFD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)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. </w:t>
            </w:r>
          </w:p>
          <w:p w14:paraId="6A14F0C5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Размер на гаранционните такси: </w:t>
            </w:r>
          </w:p>
          <w:p w14:paraId="40659925" w14:textId="77777777" w:rsidR="00142282" w:rsidRPr="003A35E1" w:rsidRDefault="00142282" w:rsidP="00142282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Обезпечени кредити:</w:t>
            </w:r>
          </w:p>
          <w:p w14:paraId="14B109A5" w14:textId="77777777" w:rsidR="00DC3F13" w:rsidRPr="003A35E1" w:rsidRDefault="00DC3F13" w:rsidP="00142282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Инвестиционни</w:t>
            </w:r>
            <w:r w:rsidR="0014228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–</w:t>
            </w:r>
            <w:r w:rsidR="00C91504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до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0,60%;</w:t>
            </w:r>
          </w:p>
          <w:p w14:paraId="66CBB350" w14:textId="77777777" w:rsidR="00DC3F13" w:rsidRPr="003A35E1" w:rsidRDefault="00DC3F13" w:rsidP="00142282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Оборотни</w:t>
            </w:r>
            <w:r w:rsidR="0014228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– </w:t>
            </w:r>
            <w:r w:rsidR="00C91504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до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0,80% ;</w:t>
            </w:r>
          </w:p>
          <w:p w14:paraId="2FAB02FE" w14:textId="77777777" w:rsidR="00DC3F13" w:rsidRPr="003A35E1" w:rsidRDefault="00DC3F13" w:rsidP="00142282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Банкови гаранции</w:t>
            </w:r>
            <w:r w:rsidR="0014228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="00C91504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–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</w:t>
            </w:r>
            <w:r w:rsidR="00C91504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до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0,45%</w:t>
            </w:r>
          </w:p>
          <w:p w14:paraId="4E9E9893" w14:textId="77777777" w:rsidR="00DC3F13" w:rsidRPr="003A35E1" w:rsidRDefault="00DC3F13" w:rsidP="00AD59A3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Необезпечени кредити – </w:t>
            </w:r>
            <w:r w:rsidR="00C91504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до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>1.5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0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>%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;</w:t>
            </w:r>
          </w:p>
          <w:p w14:paraId="35501220" w14:textId="77777777" w:rsidR="00142282" w:rsidRPr="003A35E1" w:rsidRDefault="00142282" w:rsidP="00AD59A3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Специфични/секторни:</w:t>
            </w:r>
          </w:p>
          <w:p w14:paraId="5BD41D7B" w14:textId="77777777" w:rsidR="00DC3F13" w:rsidRPr="003A35E1" w:rsidRDefault="00142282" w:rsidP="00142282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З</w:t>
            </w:r>
            <w:r w:rsidR="00DC3F1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а финансиране на </w:t>
            </w:r>
            <w:r w:rsidR="00E94256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грантови </w:t>
            </w:r>
            <w:r w:rsidR="00DC3F1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проекти </w:t>
            </w:r>
            <w:r w:rsidR="00E94256">
              <w:rPr>
                <w:rFonts w:ascii="Verdana" w:hAnsi="Verdana" w:cs="Times New Roman"/>
                <w:color w:val="auto"/>
                <w:sz w:val="20"/>
                <w:szCs w:val="20"/>
              </w:rPr>
              <w:t>от</w:t>
            </w:r>
            <w:r w:rsidR="00DC3F1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ЕС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–</w:t>
            </w:r>
            <w:r w:rsidR="00DC3F1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0.45%</w:t>
            </w:r>
          </w:p>
          <w:p w14:paraId="737BD8F0" w14:textId="77777777" w:rsidR="00A95ECD" w:rsidRDefault="00142282" w:rsidP="00E94256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З</w:t>
            </w:r>
            <w:r w:rsidR="00DC3F1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а финансиране на проекти за собствени възобновяеми енергийни източници в предприятията – 0,45%.</w:t>
            </w:r>
          </w:p>
          <w:p w14:paraId="713E668C" w14:textId="77777777" w:rsidR="00E94256" w:rsidRDefault="00E94256" w:rsidP="00E94256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Посоченият размер на гаранционни такси е индикативен, като окончателни параметри ще бъдат изготвени на база преглед на заявените от Банката параметри и предоставени данни в процеса на кандидатстване.</w:t>
            </w:r>
          </w:p>
          <w:p w14:paraId="01F0F057" w14:textId="77777777" w:rsidR="00E94256" w:rsidRPr="003A35E1" w:rsidRDefault="00E94256" w:rsidP="00E94256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</w:rPr>
              <w:t>Минимален размер на гаранционната такса на ниво Банка – 1500 лв. на тримесечие без ДДС.</w:t>
            </w:r>
          </w:p>
        </w:tc>
      </w:tr>
      <w:tr w:rsidR="00DC3F13" w:rsidRPr="003A35E1" w14:paraId="7089ECFA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3BF3DA64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Обезпечение на гарантираните кредити</w:t>
            </w:r>
          </w:p>
        </w:tc>
        <w:tc>
          <w:tcPr>
            <w:tcW w:w="7029" w:type="dxa"/>
          </w:tcPr>
          <w:p w14:paraId="150E06E5" w14:textId="77777777" w:rsidR="00AD59A3" w:rsidRPr="003A35E1" w:rsidRDefault="00AD59A3" w:rsidP="00490B7E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О</w:t>
            </w:r>
            <w:r w:rsidR="00142282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безпечени </w:t>
            </w:r>
            <w:r w:rsidR="00490B7E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кредити</w:t>
            </w:r>
          </w:p>
          <w:p w14:paraId="562B4D7E" w14:textId="77777777" w:rsidR="00AD59A3" w:rsidRPr="003A35E1" w:rsidRDefault="00AD59A3" w:rsidP="00490B7E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Минимум 50% покритие с обезпечение по вътрешни правила на банката;</w:t>
            </w:r>
          </w:p>
          <w:p w14:paraId="5648AD7E" w14:textId="77777777" w:rsidR="00490B7E" w:rsidRPr="003A35E1" w:rsidRDefault="00DC3F13" w:rsidP="00AD59A3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Необезпечени кредити</w:t>
            </w:r>
          </w:p>
          <w:p w14:paraId="3D34A8FE" w14:textId="77777777" w:rsidR="00DC3F13" w:rsidRPr="003A35E1" w:rsidRDefault="00490B7E" w:rsidP="00490B7E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П</w:t>
            </w:r>
            <w:r w:rsidR="00DC3F1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окритие под 50% стойност или без обезпечение с ДМА;</w:t>
            </w:r>
          </w:p>
          <w:p w14:paraId="2843F988" w14:textId="77777777" w:rsidR="00490B7E" w:rsidRPr="003A35E1" w:rsidRDefault="00490B7E" w:rsidP="00AD59A3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Специфични/секторни:</w:t>
            </w:r>
          </w:p>
          <w:p w14:paraId="52C8A767" w14:textId="77777777" w:rsidR="00DC3F13" w:rsidRPr="003A35E1" w:rsidRDefault="00DC3F13" w:rsidP="00490B7E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Кредити за финансиране на грантови проекти – мин. активите, придобивани по проекта и залог на одобрената субсидия;</w:t>
            </w:r>
          </w:p>
          <w:p w14:paraId="76CB01D1" w14:textId="77777777" w:rsidR="00DC3F13" w:rsidRPr="003A35E1" w:rsidRDefault="00DC3F13" w:rsidP="00490B7E">
            <w:pPr>
              <w:pStyle w:val="Default"/>
              <w:numPr>
                <w:ilvl w:val="1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Кредити за ВЕИ – мин. залог на ВЕИ и вземания по договори с ЕРП.</w:t>
            </w:r>
          </w:p>
          <w:p w14:paraId="6511A23D" w14:textId="77777777" w:rsidR="00DC3F13" w:rsidRPr="003A35E1" w:rsidRDefault="00490B7E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Кредити, отпуснати с обезпечение Залог на СМЗ и/или Залози на търговски вземания се отчитат като Необезпечени кредити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).</w:t>
            </w:r>
          </w:p>
        </w:tc>
      </w:tr>
      <w:tr w:rsidR="00DC3F13" w:rsidRPr="003A35E1" w14:paraId="3C51251B" w14:textId="77777777" w:rsidTr="00A0283E">
        <w:trPr>
          <w:trHeight w:val="636"/>
        </w:trPr>
        <w:tc>
          <w:tcPr>
            <w:tcW w:w="2610" w:type="dxa"/>
          </w:tcPr>
          <w:p w14:paraId="76552575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Включване на кредити в гарантирания портфейл</w:t>
            </w:r>
          </w:p>
        </w:tc>
        <w:tc>
          <w:tcPr>
            <w:tcW w:w="7029" w:type="dxa"/>
          </w:tcPr>
          <w:p w14:paraId="3B8AF669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Кредити </w:t>
            </w:r>
            <w:r w:rsidR="00665EDD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с</w:t>
            </w:r>
            <w:r w:rsidR="00F4418A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размер на гаранцията до 1 </w:t>
            </w:r>
            <w:r w:rsidR="00F4418A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млн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.</w:t>
            </w:r>
            <w:r w:rsidR="00F4418A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лв. ще се включват в портфейла автоматично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от банката-партньор след изпращане на предвидените съгласно гаранционните споразумения отчети към НГФ. </w:t>
            </w:r>
          </w:p>
          <w:p w14:paraId="5D1BEC31" w14:textId="77777777" w:rsidR="00F4418A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Кредити с размер на гаранцията над 1 </w:t>
            </w:r>
            <w:r w:rsidR="00F4418A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млн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. лв. включително  ще се включват в гарантирания портфейл след преглед и 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lastRenderedPageBreak/>
              <w:t xml:space="preserve">одобрение от страна на НГФ. </w:t>
            </w:r>
          </w:p>
          <w:p w14:paraId="1340E9AC" w14:textId="77777777" w:rsidR="00DC3F13" w:rsidRPr="003A35E1" w:rsidRDefault="0036397C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(</w:t>
            </w:r>
            <w:r w:rsidR="00BE03E0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Размерът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BE03E0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е на база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 експозиция на кредитополучател и </w:t>
            </w:r>
            <w:r w:rsidR="00F4418A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С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вързани лица</w:t>
            </w:r>
            <w:r w:rsidR="009835E9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 xml:space="preserve"> към съответната банка</w:t>
            </w:r>
            <w:r w:rsidR="00665EDD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-</w:t>
            </w:r>
            <w:r w:rsidR="009835E9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партньор</w:t>
            </w:r>
            <w:r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)</w:t>
            </w:r>
            <w:r w:rsidR="00DC3F13" w:rsidRPr="003A35E1">
              <w:rPr>
                <w:rFonts w:ascii="Verdana" w:hAnsi="Verdana" w:cs="Times New Roman"/>
                <w:i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C3F13" w:rsidRPr="003A35E1" w14:paraId="7F26B707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10094A70" w14:textId="77777777" w:rsidR="00DC3F13" w:rsidRPr="003A35E1" w:rsidRDefault="00DC3F13" w:rsidP="00AD59A3">
            <w:pPr>
              <w:spacing w:before="60" w:after="6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 xml:space="preserve">Валута на гаранцията </w:t>
            </w:r>
          </w:p>
        </w:tc>
        <w:tc>
          <w:tcPr>
            <w:tcW w:w="7029" w:type="dxa"/>
          </w:tcPr>
          <w:p w14:paraId="4F79650E" w14:textId="77777777" w:rsidR="00DC3F13" w:rsidRPr="003A35E1" w:rsidRDefault="00DC3F13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Гаранциите се издават в лева. При гарантиране на кредити в евро, сумата на гаранцията се изчислява по фиксинг на БНБ.</w:t>
            </w:r>
          </w:p>
        </w:tc>
      </w:tr>
      <w:tr w:rsidR="00DC3F13" w:rsidRPr="003A35E1" w14:paraId="035D5ACF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0B488BCC" w14:textId="77777777" w:rsidR="00DC3F13" w:rsidRPr="003A35E1" w:rsidRDefault="00DC3F13" w:rsidP="00AD59A3">
            <w:pPr>
              <w:spacing w:before="60" w:after="6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Валута на кредитите</w:t>
            </w:r>
          </w:p>
        </w:tc>
        <w:tc>
          <w:tcPr>
            <w:tcW w:w="7029" w:type="dxa"/>
          </w:tcPr>
          <w:p w14:paraId="7927B526" w14:textId="77777777" w:rsidR="00DC3F13" w:rsidRPr="003A35E1" w:rsidRDefault="00DC3F13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Лева или евро.</w:t>
            </w:r>
          </w:p>
        </w:tc>
      </w:tr>
      <w:tr w:rsidR="00DC3F13" w:rsidRPr="003A35E1" w14:paraId="2D354526" w14:textId="77777777" w:rsidTr="003B0CFF">
        <w:trPr>
          <w:trHeight w:val="391"/>
        </w:trPr>
        <w:tc>
          <w:tcPr>
            <w:tcW w:w="2610" w:type="dxa"/>
          </w:tcPr>
          <w:p w14:paraId="2F716F2C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Гаранционен процент</w:t>
            </w:r>
          </w:p>
        </w:tc>
        <w:tc>
          <w:tcPr>
            <w:tcW w:w="7029" w:type="dxa"/>
          </w:tcPr>
          <w:p w14:paraId="2DC2B8C3" w14:textId="77777777" w:rsidR="00E94256" w:rsidRDefault="00E94256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Минимален размер на гаранцията – 10%</w:t>
            </w:r>
          </w:p>
          <w:p w14:paraId="2236D926" w14:textId="77777777" w:rsidR="00DC3F13" w:rsidRPr="003A35E1" w:rsidRDefault="00E94256" w:rsidP="00E94256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Максимален размер на гаранцията – до </w:t>
            </w:r>
            <w:r w:rsidR="00DC3F1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50% </w:t>
            </w:r>
            <w:r w:rsidR="009C118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(индивидуално за съответния кредит)</w:t>
            </w:r>
          </w:p>
        </w:tc>
      </w:tr>
      <w:tr w:rsidR="00DC3F13" w:rsidRPr="003A35E1" w14:paraId="615B97CC" w14:textId="77777777" w:rsidTr="003B0CFF">
        <w:trPr>
          <w:trHeight w:val="658"/>
        </w:trPr>
        <w:tc>
          <w:tcPr>
            <w:tcW w:w="2610" w:type="dxa"/>
          </w:tcPr>
          <w:p w14:paraId="6FAA7B13" w14:textId="77777777" w:rsidR="00DC3F13" w:rsidRPr="003A35E1" w:rsidRDefault="00DC3F13" w:rsidP="00E94256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Срок на </w:t>
            </w:r>
            <w:r w:rsidR="00E94256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гаранцията</w:t>
            </w:r>
          </w:p>
        </w:tc>
        <w:tc>
          <w:tcPr>
            <w:tcW w:w="7029" w:type="dxa"/>
          </w:tcPr>
          <w:p w14:paraId="7A40718C" w14:textId="199E076B" w:rsidR="00665EDD" w:rsidRPr="003A35E1" w:rsidRDefault="00E94256" w:rsidP="00665EDD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До </w:t>
            </w:r>
            <w:r w:rsidR="005E0B02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72</w:t>
            </w:r>
            <w:r w:rsidR="00DC3F1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месеца</w:t>
            </w:r>
            <w:r w:rsidR="00A115C6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15510C8F" w14:textId="5740A6A4" w:rsidR="00DC3F13" w:rsidRPr="003A35E1" w:rsidRDefault="00665EDD" w:rsidP="00E94256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Cs/>
                <w:i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Cs/>
                <w:i/>
                <w:color w:val="auto"/>
                <w:sz w:val="20"/>
                <w:szCs w:val="20"/>
              </w:rPr>
              <w:t>(</w:t>
            </w:r>
            <w:r w:rsidR="005E0B02">
              <w:t xml:space="preserve"> </w:t>
            </w:r>
            <w:r w:rsidR="005E0B02" w:rsidRPr="005E0B02">
              <w:rPr>
                <w:rFonts w:ascii="Verdana" w:hAnsi="Verdana" w:cs="Times New Roman"/>
                <w:bCs/>
                <w:i/>
                <w:color w:val="auto"/>
                <w:sz w:val="20"/>
                <w:szCs w:val="20"/>
              </w:rPr>
              <w:t>Сроковете ще бъдат дефинирани на база готовността за подписване на първите гаранционни споразумения с банките и ще бъдат заложени в тях</w:t>
            </w:r>
            <w:r w:rsidR="005E0B02" w:rsidRPr="005E0B02" w:rsidDel="005E0B02">
              <w:rPr>
                <w:rFonts w:ascii="Verdana" w:hAnsi="Verdana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r w:rsidR="002E0B15" w:rsidRPr="003A35E1">
              <w:rPr>
                <w:rFonts w:ascii="Verdana" w:hAnsi="Verdana" w:cs="Times New Roman"/>
                <w:bCs/>
                <w:i/>
                <w:color w:val="auto"/>
                <w:sz w:val="20"/>
                <w:szCs w:val="20"/>
              </w:rPr>
              <w:t>)</w:t>
            </w:r>
          </w:p>
        </w:tc>
      </w:tr>
      <w:tr w:rsidR="00DC3F13" w:rsidRPr="003A35E1" w14:paraId="24C4B193" w14:textId="77777777" w:rsidTr="003B0CFF">
        <w:trPr>
          <w:trHeight w:val="658"/>
        </w:trPr>
        <w:tc>
          <w:tcPr>
            <w:tcW w:w="2610" w:type="dxa"/>
          </w:tcPr>
          <w:p w14:paraId="11DB62C0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 xml:space="preserve">Процент на </w:t>
            </w:r>
            <w:r w:rsidR="00EF2A6A"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т</w:t>
            </w: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авана за плащане</w:t>
            </w:r>
          </w:p>
        </w:tc>
        <w:tc>
          <w:tcPr>
            <w:tcW w:w="7029" w:type="dxa"/>
          </w:tcPr>
          <w:p w14:paraId="286819F9" w14:textId="77777777" w:rsidR="00DC3F13" w:rsidRPr="003A35E1" w:rsidRDefault="00DC3F13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До 25%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r w:rsidR="00E94256">
              <w:rPr>
                <w:rFonts w:ascii="Verdana" w:hAnsi="Verdana" w:cs="Times New Roman"/>
                <w:sz w:val="20"/>
                <w:szCs w:val="20"/>
              </w:rPr>
              <w:t>- ще бъде определен  на база преглед на заявените от Банката параметри и предоставени данни в процеса на кандидатстване.</w:t>
            </w:r>
            <w:r w:rsidR="00D13FC5" w:rsidRPr="003A35E1">
              <w:rPr>
                <w:rFonts w:ascii="Verdana" w:hAnsi="Verdana" w:cs="Times New Roman"/>
                <w:sz w:val="20"/>
                <w:szCs w:val="20"/>
              </w:rPr>
              <w:t xml:space="preserve">) </w:t>
            </w:r>
          </w:p>
          <w:p w14:paraId="3CB91E1A" w14:textId="6645C707" w:rsidR="00EF2A6A" w:rsidRPr="003A35E1" w:rsidRDefault="00EF2A6A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(В гаранционното споразумение таванът за плащане </w:t>
            </w:r>
            <w:r w:rsidR="004F61BE">
              <w:rPr>
                <w:rFonts w:ascii="Verdana" w:hAnsi="Verdana" w:cs="Times New Roman"/>
                <w:i/>
                <w:iCs/>
                <w:sz w:val="20"/>
                <w:szCs w:val="20"/>
              </w:rPr>
              <w:t>с</w:t>
            </w: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е договор</w:t>
            </w:r>
            <w:r w:rsidR="004F61BE">
              <w:rPr>
                <w:rFonts w:ascii="Verdana" w:hAnsi="Verdana" w:cs="Times New Roman"/>
                <w:i/>
                <w:iCs/>
                <w:sz w:val="20"/>
                <w:szCs w:val="20"/>
              </w:rPr>
              <w:t>я</w:t>
            </w: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и в абсолютен размер въз основа на договорения процент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).</w:t>
            </w:r>
          </w:p>
        </w:tc>
      </w:tr>
      <w:tr w:rsidR="00DC3F13" w:rsidRPr="003A35E1" w14:paraId="280996D0" w14:textId="77777777" w:rsidTr="003B0CFF">
        <w:trPr>
          <w:trHeight w:val="155"/>
        </w:trPr>
        <w:tc>
          <w:tcPr>
            <w:tcW w:w="2610" w:type="dxa"/>
          </w:tcPr>
          <w:p w14:paraId="28DD1DFC" w14:textId="77777777" w:rsidR="00DC3F13" w:rsidRPr="003A35E1" w:rsidRDefault="00DC3F13" w:rsidP="00AD59A3">
            <w:pPr>
              <w:pStyle w:val="Default"/>
              <w:spacing w:before="60" w:after="60" w:line="276" w:lineRule="auto"/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color w:val="auto"/>
                <w:sz w:val="20"/>
                <w:szCs w:val="20"/>
              </w:rPr>
              <w:t>Срок за включване</w:t>
            </w:r>
          </w:p>
        </w:tc>
        <w:tc>
          <w:tcPr>
            <w:tcW w:w="7029" w:type="dxa"/>
          </w:tcPr>
          <w:p w14:paraId="45D40E42" w14:textId="77777777" w:rsidR="00665EDD" w:rsidRPr="003A35E1" w:rsidRDefault="00DC3F13" w:rsidP="00665EDD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>До 36 месеца</w:t>
            </w:r>
            <w:r w:rsidR="009C1183" w:rsidRPr="003A35E1"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7333DF47" w14:textId="77777777" w:rsidR="00665EDD" w:rsidRPr="003A35E1" w:rsidRDefault="002E0B15" w:rsidP="00665EDD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bCs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Cs/>
                <w:i/>
                <w:color w:val="auto"/>
                <w:sz w:val="20"/>
                <w:szCs w:val="20"/>
              </w:rPr>
              <w:t>(Срокът се определя от датата на подписване на първото гаранционно споразумение с банка-партньор)</w:t>
            </w:r>
          </w:p>
        </w:tc>
      </w:tr>
      <w:tr w:rsidR="00DC3F13" w:rsidRPr="003A35E1" w14:paraId="66E474AC" w14:textId="77777777" w:rsidTr="003B0CFF">
        <w:trPr>
          <w:trHeight w:val="155"/>
        </w:trPr>
        <w:tc>
          <w:tcPr>
            <w:tcW w:w="2610" w:type="dxa"/>
          </w:tcPr>
          <w:p w14:paraId="12EB7252" w14:textId="77777777" w:rsidR="00DC3F13" w:rsidRPr="003A35E1" w:rsidRDefault="00DC3F13" w:rsidP="00AD59A3">
            <w:pPr>
              <w:spacing w:before="60" w:after="6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Гарантирана сума</w:t>
            </w:r>
          </w:p>
        </w:tc>
        <w:tc>
          <w:tcPr>
            <w:tcW w:w="7029" w:type="dxa"/>
          </w:tcPr>
          <w:p w14:paraId="6D8D7593" w14:textId="77777777" w:rsidR="00DC3F13" w:rsidRPr="003A35E1" w:rsidRDefault="00DC3F13" w:rsidP="00AD59A3">
            <w:pPr>
              <w:pStyle w:val="Default"/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Неиздължената към момента на </w:t>
            </w:r>
            <w:r w:rsidR="009C118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и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скане за плащане главница на </w:t>
            </w:r>
            <w:r w:rsidR="009C118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к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редита</w:t>
            </w:r>
            <w:r w:rsidR="009C118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 xml:space="preserve"> умножена по </w:t>
            </w:r>
            <w:r w:rsidR="009C1183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г</w:t>
            </w: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аранционния процент за съответния кредит.</w:t>
            </w:r>
          </w:p>
        </w:tc>
      </w:tr>
      <w:tr w:rsidR="00DC3F13" w:rsidRPr="003A35E1" w14:paraId="40191295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655CD674" w14:textId="77777777" w:rsidR="00DC3F13" w:rsidRPr="003A35E1" w:rsidRDefault="00DC3F13" w:rsidP="00AD59A3">
            <w:pPr>
              <w:spacing w:before="60" w:after="6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Плащане по гаранция</w:t>
            </w:r>
          </w:p>
        </w:tc>
        <w:tc>
          <w:tcPr>
            <w:tcW w:w="7029" w:type="dxa"/>
          </w:tcPr>
          <w:p w14:paraId="359C1687" w14:textId="77777777" w:rsidR="00DC3F13" w:rsidRPr="003A35E1" w:rsidRDefault="00DC3F13" w:rsidP="00AD59A3">
            <w:pPr>
              <w:pStyle w:val="BodyText"/>
              <w:spacing w:before="60" w:after="60" w:line="276" w:lineRule="auto"/>
              <w:rPr>
                <w:rFonts w:ascii="Verdana" w:hAnsi="Verdana"/>
              </w:rPr>
            </w:pPr>
            <w:r w:rsidRPr="003A35E1">
              <w:rPr>
                <w:rFonts w:ascii="Verdana" w:hAnsi="Verdana"/>
              </w:rPr>
              <w:t xml:space="preserve">Плащане по отделна предявена гаранция </w:t>
            </w:r>
            <w:r w:rsidR="009C1183" w:rsidRPr="003A35E1">
              <w:rPr>
                <w:rFonts w:ascii="Verdana" w:hAnsi="Verdana"/>
              </w:rPr>
              <w:t>се</w:t>
            </w:r>
            <w:r w:rsidRPr="003A35E1">
              <w:rPr>
                <w:rFonts w:ascii="Verdana" w:hAnsi="Verdana"/>
              </w:rPr>
              <w:t xml:space="preserve"> извърш</w:t>
            </w:r>
            <w:r w:rsidR="009C1183" w:rsidRPr="003A35E1">
              <w:rPr>
                <w:rFonts w:ascii="Verdana" w:hAnsi="Verdana"/>
              </w:rPr>
              <w:t>ва</w:t>
            </w:r>
            <w:r w:rsidRPr="003A35E1">
              <w:rPr>
                <w:rFonts w:ascii="Verdana" w:hAnsi="Verdana"/>
              </w:rPr>
              <w:t xml:space="preserve"> от НГФ </w:t>
            </w:r>
            <w:r w:rsidRPr="003A35E1">
              <w:rPr>
                <w:rFonts w:ascii="Verdana" w:hAnsi="Verdana"/>
                <w:bCs/>
              </w:rPr>
              <w:t>при стартиране на процедурата за съдебно събиране.</w:t>
            </w:r>
            <w:r w:rsidRPr="003A35E1">
              <w:rPr>
                <w:rFonts w:ascii="Verdana" w:hAnsi="Verdana"/>
              </w:rPr>
              <w:t xml:space="preserve"> Нетно платената сума от НГФ по кредити</w:t>
            </w:r>
            <w:r w:rsidR="009C1183" w:rsidRPr="003A35E1">
              <w:rPr>
                <w:rFonts w:ascii="Verdana" w:hAnsi="Verdana"/>
              </w:rPr>
              <w:t>,</w:t>
            </w:r>
            <w:r w:rsidRPr="003A35E1">
              <w:rPr>
                <w:rFonts w:ascii="Verdana" w:hAnsi="Verdana"/>
              </w:rPr>
              <w:t xml:space="preserve"> включени в гарантирания портфейл </w:t>
            </w:r>
            <w:r w:rsidRPr="003A35E1">
              <w:rPr>
                <w:rFonts w:ascii="Verdana" w:hAnsi="Verdana"/>
                <w:bCs/>
              </w:rPr>
              <w:t>не може да надвиш</w:t>
            </w:r>
            <w:r w:rsidR="006C517B" w:rsidRPr="003A35E1">
              <w:rPr>
                <w:rFonts w:ascii="Verdana" w:hAnsi="Verdana"/>
                <w:bCs/>
              </w:rPr>
              <w:t>ава</w:t>
            </w:r>
            <w:r w:rsidRPr="003A35E1">
              <w:rPr>
                <w:rFonts w:ascii="Verdana" w:hAnsi="Verdana"/>
                <w:bCs/>
              </w:rPr>
              <w:t xml:space="preserve"> </w:t>
            </w:r>
            <w:r w:rsidR="00EF2A6A" w:rsidRPr="003A35E1">
              <w:rPr>
                <w:rFonts w:ascii="Verdana" w:hAnsi="Verdana"/>
                <w:bCs/>
              </w:rPr>
              <w:t xml:space="preserve">договорения с банката </w:t>
            </w:r>
            <w:r w:rsidR="006C517B" w:rsidRPr="003A35E1">
              <w:rPr>
                <w:rFonts w:ascii="Verdana" w:hAnsi="Verdana"/>
                <w:bCs/>
              </w:rPr>
              <w:t xml:space="preserve">абсолютен размер на </w:t>
            </w:r>
            <w:r w:rsidR="00EF2A6A" w:rsidRPr="003A35E1">
              <w:rPr>
                <w:rFonts w:ascii="Verdana" w:hAnsi="Verdana"/>
                <w:bCs/>
              </w:rPr>
              <w:t>т</w:t>
            </w:r>
            <w:r w:rsidRPr="003A35E1">
              <w:rPr>
                <w:rFonts w:ascii="Verdana" w:hAnsi="Verdana"/>
                <w:bCs/>
              </w:rPr>
              <w:t>аван</w:t>
            </w:r>
            <w:r w:rsidR="006C517B" w:rsidRPr="003A35E1">
              <w:rPr>
                <w:rFonts w:ascii="Verdana" w:hAnsi="Verdana"/>
                <w:bCs/>
              </w:rPr>
              <w:t>а</w:t>
            </w:r>
            <w:r w:rsidRPr="003A35E1">
              <w:rPr>
                <w:rFonts w:ascii="Verdana" w:hAnsi="Verdana"/>
                <w:bCs/>
              </w:rPr>
              <w:t xml:space="preserve"> за плащане. </w:t>
            </w:r>
          </w:p>
        </w:tc>
      </w:tr>
      <w:tr w:rsidR="00DC3F13" w:rsidRPr="003A35E1" w14:paraId="487FE934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1CEABA4B" w14:textId="77777777" w:rsidR="00DC3F13" w:rsidRPr="003A35E1" w:rsidRDefault="00E37661" w:rsidP="00AD59A3">
            <w:pPr>
              <w:spacing w:before="60" w:after="6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Отговорност на банката-партньор по с</w:t>
            </w:r>
            <w:r w:rsidR="00DC3F13"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ъбиране на вземания</w:t>
            </w:r>
          </w:p>
        </w:tc>
        <w:tc>
          <w:tcPr>
            <w:tcW w:w="7029" w:type="dxa"/>
          </w:tcPr>
          <w:p w14:paraId="73F992C1" w14:textId="77777777" w:rsidR="00DC3F13" w:rsidRPr="003A35E1" w:rsidRDefault="00DC3F13" w:rsidP="00AD59A3">
            <w:pPr>
              <w:pStyle w:val="BodyText"/>
              <w:spacing w:before="60" w:after="60" w:line="276" w:lineRule="auto"/>
              <w:rPr>
                <w:rFonts w:ascii="Verdana" w:hAnsi="Verdana"/>
              </w:rPr>
            </w:pPr>
            <w:r w:rsidRPr="003A35E1">
              <w:rPr>
                <w:rFonts w:ascii="Verdana" w:hAnsi="Verdana"/>
              </w:rPr>
              <w:t>Банката-партньор се задължава да извършва с грижата на добрия търговец всички правни и фактически действия за събиране на вземанията по кредити, включени в гарантирания портфейл, по които има неизпълнение, в съответствие с вътрешните си правила и процедури.</w:t>
            </w:r>
          </w:p>
        </w:tc>
      </w:tr>
      <w:tr w:rsidR="00DC3F13" w:rsidRPr="003A35E1" w14:paraId="4F9983FE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6E2249BA" w14:textId="77777777" w:rsidR="00DC3F13" w:rsidRPr="003A35E1" w:rsidRDefault="00DC3F13" w:rsidP="00AD59A3">
            <w:pPr>
              <w:spacing w:before="60" w:after="60"/>
              <w:ind w:right="33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Възстановяване на суми към НГФ</w:t>
            </w:r>
          </w:p>
        </w:tc>
        <w:tc>
          <w:tcPr>
            <w:tcW w:w="7029" w:type="dxa"/>
          </w:tcPr>
          <w:p w14:paraId="34735C9B" w14:textId="77777777" w:rsidR="007542C4" w:rsidRPr="003A35E1" w:rsidRDefault="007542C4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Банката-партньор възстановява на НГФ платени суми при определени обстоятелства, включително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всички суми, платени от НГФ над тавана за плащане, всички суми, плат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ени от НГФ във връзка с кредит, изключен от гаранцията и други условия</w:t>
            </w:r>
            <w:r w:rsidR="00665EDD" w:rsidRPr="003A35E1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определени в гаранционното споразумение.</w:t>
            </w:r>
          </w:p>
          <w:p w14:paraId="48B47FD9" w14:textId="77777777" w:rsidR="00DC3F13" w:rsidRPr="003A35E1" w:rsidRDefault="00E37661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Възстановяване на суми към </w:t>
            </w:r>
            <w:r w:rsidR="00BA12B2" w:rsidRPr="003A35E1">
              <w:rPr>
                <w:rFonts w:ascii="Verdana" w:hAnsi="Verdana" w:cs="Times New Roman"/>
                <w:sz w:val="20"/>
                <w:szCs w:val="20"/>
              </w:rPr>
              <w:t>Ф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онда</w:t>
            </w:r>
            <w:r w:rsidR="00C97723" w:rsidRPr="003A35E1">
              <w:rPr>
                <w:rFonts w:ascii="Verdana" w:hAnsi="Verdana" w:cs="Times New Roman"/>
                <w:sz w:val="20"/>
                <w:szCs w:val="20"/>
              </w:rPr>
              <w:t xml:space="preserve"> в резултат на получени/събрани суми от кредитополучатели</w:t>
            </w:r>
            <w:r w:rsidR="00C7203D" w:rsidRPr="003A35E1">
              <w:rPr>
                <w:rFonts w:ascii="Verdana" w:hAnsi="Verdana" w:cs="Times New Roman"/>
                <w:sz w:val="20"/>
                <w:szCs w:val="20"/>
              </w:rPr>
              <w:t xml:space="preserve"> се</w:t>
            </w:r>
            <w:r w:rsidR="00BA12B2" w:rsidRPr="003A35E1">
              <w:rPr>
                <w:rFonts w:ascii="Verdana" w:hAnsi="Verdana" w:cs="Times New Roman"/>
                <w:sz w:val="20"/>
                <w:szCs w:val="20"/>
              </w:rPr>
              <w:t xml:space="preserve"> извършва</w:t>
            </w:r>
            <w:r w:rsidR="00C7203D" w:rsidRPr="003A35E1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BA12B2" w:rsidRPr="003A35E1">
              <w:rPr>
                <w:rFonts w:ascii="Verdana" w:hAnsi="Verdana" w:cs="Times New Roman"/>
                <w:sz w:val="20"/>
                <w:szCs w:val="20"/>
              </w:rPr>
              <w:t xml:space="preserve"> след </w:t>
            </w:r>
            <w:r w:rsidR="00C7203D" w:rsidRPr="003A35E1">
              <w:rPr>
                <w:rFonts w:ascii="Verdana" w:hAnsi="Verdana" w:cs="Times New Roman"/>
                <w:sz w:val="20"/>
                <w:szCs w:val="20"/>
              </w:rPr>
              <w:t>като банката</w:t>
            </w:r>
            <w:r w:rsidR="007542C4" w:rsidRPr="003A35E1">
              <w:rPr>
                <w:rFonts w:ascii="Verdana" w:hAnsi="Verdana" w:cs="Times New Roman"/>
                <w:sz w:val="20"/>
                <w:szCs w:val="20"/>
              </w:rPr>
              <w:t>-партньор</w:t>
            </w:r>
            <w:r w:rsidR="00C7203D"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BA12B2" w:rsidRPr="003A35E1">
              <w:rPr>
                <w:rFonts w:ascii="Verdana" w:hAnsi="Verdana" w:cs="Times New Roman"/>
                <w:sz w:val="20"/>
                <w:szCs w:val="20"/>
              </w:rPr>
              <w:t>покри</w:t>
            </w:r>
            <w:r w:rsidR="00C7203D" w:rsidRPr="003A35E1">
              <w:rPr>
                <w:rFonts w:ascii="Verdana" w:hAnsi="Verdana" w:cs="Times New Roman"/>
                <w:sz w:val="20"/>
                <w:szCs w:val="20"/>
              </w:rPr>
              <w:t>е</w:t>
            </w:r>
            <w:r w:rsidR="00BA12B2" w:rsidRPr="003A35E1">
              <w:rPr>
                <w:rFonts w:ascii="Verdana" w:hAnsi="Verdana" w:cs="Times New Roman"/>
                <w:sz w:val="20"/>
                <w:szCs w:val="20"/>
              </w:rPr>
              <w:t xml:space="preserve"> разноските, които </w:t>
            </w:r>
            <w:r w:rsidR="00DC3F13" w:rsidRPr="003A35E1">
              <w:rPr>
                <w:rFonts w:ascii="Verdana" w:hAnsi="Verdana" w:cs="Times New Roman"/>
                <w:sz w:val="20"/>
                <w:szCs w:val="20"/>
              </w:rPr>
              <w:t xml:space="preserve">е направила </w:t>
            </w:r>
            <w:r w:rsidR="00C7203D" w:rsidRPr="003A35E1">
              <w:rPr>
                <w:rFonts w:ascii="Verdana" w:hAnsi="Verdana" w:cs="Times New Roman"/>
                <w:sz w:val="20"/>
                <w:szCs w:val="20"/>
              </w:rPr>
              <w:t>в хода на</w:t>
            </w:r>
            <w:r w:rsidR="00DC3F13"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B470D0" w:rsidRPr="003A35E1">
              <w:rPr>
                <w:rFonts w:ascii="Verdana" w:hAnsi="Verdana" w:cs="Times New Roman"/>
                <w:sz w:val="20"/>
                <w:szCs w:val="20"/>
              </w:rPr>
              <w:t xml:space="preserve">процеса по </w:t>
            </w:r>
            <w:r w:rsidR="00DC3F13" w:rsidRPr="003A35E1">
              <w:rPr>
                <w:rFonts w:ascii="Verdana" w:hAnsi="Verdana" w:cs="Times New Roman"/>
                <w:sz w:val="20"/>
                <w:szCs w:val="20"/>
              </w:rPr>
              <w:t xml:space="preserve">събиране на вземането по </w:t>
            </w:r>
            <w:r w:rsidR="00BA12B2" w:rsidRPr="003A35E1">
              <w:rPr>
                <w:rFonts w:ascii="Verdana" w:hAnsi="Verdana" w:cs="Times New Roman"/>
                <w:sz w:val="20"/>
                <w:szCs w:val="20"/>
              </w:rPr>
              <w:lastRenderedPageBreak/>
              <w:t>к</w:t>
            </w:r>
            <w:r w:rsidR="00DC3F13" w:rsidRPr="003A35E1">
              <w:rPr>
                <w:rFonts w:ascii="Verdana" w:hAnsi="Verdana" w:cs="Times New Roman"/>
                <w:sz w:val="20"/>
                <w:szCs w:val="20"/>
              </w:rPr>
              <w:t>редит</w:t>
            </w:r>
            <w:r w:rsidR="00B470D0" w:rsidRPr="003A35E1">
              <w:rPr>
                <w:rFonts w:ascii="Verdana" w:hAnsi="Verdana" w:cs="Times New Roman"/>
                <w:sz w:val="20"/>
                <w:szCs w:val="20"/>
              </w:rPr>
              <w:t>и</w:t>
            </w:r>
            <w:r w:rsidR="00DC3F13" w:rsidRPr="003A35E1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</w:tc>
      </w:tr>
      <w:tr w:rsidR="00DC3F13" w:rsidRPr="003A35E1" w14:paraId="58CD748F" w14:textId="77777777" w:rsidTr="003B0CFF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2610" w:type="dxa"/>
          </w:tcPr>
          <w:p w14:paraId="4F699126" w14:textId="77777777" w:rsidR="00DC3F13" w:rsidRPr="003A35E1" w:rsidRDefault="00DC3F13" w:rsidP="00AD59A3">
            <w:pPr>
              <w:spacing w:before="60" w:after="60"/>
              <w:ind w:right="72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>Процес на изключване</w:t>
            </w:r>
            <w:r w:rsidR="00F2066E"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на кредит от гарантирания портфейл</w:t>
            </w:r>
          </w:p>
        </w:tc>
        <w:tc>
          <w:tcPr>
            <w:tcW w:w="7029" w:type="dxa"/>
          </w:tcPr>
          <w:p w14:paraId="1FF22B89" w14:textId="77777777" w:rsidR="00DC3F13" w:rsidRPr="003A35E1" w:rsidRDefault="00DC3F13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НГФ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има право да изключи кредит от </w:t>
            </w:r>
            <w:r w:rsidR="007B7405" w:rsidRPr="003A35E1">
              <w:rPr>
                <w:rFonts w:ascii="Verdana" w:hAnsi="Verdana" w:cs="Times New Roman"/>
                <w:bCs/>
                <w:sz w:val="20"/>
                <w:szCs w:val="20"/>
              </w:rPr>
              <w:t>г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арантирания портфейл при констатиране (по време на </w:t>
            </w:r>
            <w:r w:rsidR="007B7405" w:rsidRPr="003A35E1">
              <w:rPr>
                <w:rFonts w:ascii="Verdana" w:hAnsi="Verdana" w:cs="Times New Roman"/>
                <w:bCs/>
                <w:sz w:val="20"/>
                <w:szCs w:val="20"/>
              </w:rPr>
              <w:t>периодичен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мониторинг или при плащане), че даден кредит не отговаря на Критериите за допустимост</w:t>
            </w:r>
            <w:r w:rsidR="00CE4990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и допълнително договорените в гаранционното споразумение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>. В тези случаи Фондът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>изпраща уведомление за изключване до съответната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банка-партньор. 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>При изключване на кредит</w:t>
            </w:r>
            <w:r w:rsidR="0040734E" w:rsidRPr="003A35E1">
              <w:rPr>
                <w:rFonts w:ascii="Verdana" w:hAnsi="Verdana" w:cs="Times New Roman"/>
                <w:bCs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размерът на 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>р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еализирания портфейл 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>се намалява с размера на главницата по кредита към датата на изключване, като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>Фондът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="00E435E9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не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дължи възстановяване на вече платени такси вследствие на корекцията.</w:t>
            </w:r>
          </w:p>
          <w:p w14:paraId="287CDA3F" w14:textId="77777777" w:rsidR="00DC3F13" w:rsidRPr="003A35E1" w:rsidRDefault="00DC3F13" w:rsidP="00AD59A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Банката</w:t>
            </w:r>
            <w:r w:rsidR="0040734E" w:rsidRPr="003A35E1">
              <w:rPr>
                <w:rFonts w:ascii="Verdana" w:hAnsi="Verdana" w:cs="Times New Roman"/>
                <w:bCs/>
                <w:sz w:val="20"/>
                <w:szCs w:val="20"/>
              </w:rPr>
              <w:t>-партньор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няма право едностранно да изключва кредит от гарантирания портфейл. При констатиране </w:t>
            </w:r>
            <w:r w:rsidR="0040734E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на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несъответствие с критериите за допустимост</w:t>
            </w:r>
            <w:r w:rsidR="0040734E" w:rsidRPr="003A35E1">
              <w:rPr>
                <w:rFonts w:ascii="Verdana" w:hAnsi="Verdana" w:cs="Times New Roman"/>
                <w:bCs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банката</w:t>
            </w:r>
            <w:r w:rsidR="0040734E" w:rsidRPr="003A35E1">
              <w:rPr>
                <w:rFonts w:ascii="Verdana" w:hAnsi="Verdana" w:cs="Times New Roman"/>
                <w:sz w:val="20"/>
                <w:szCs w:val="20"/>
              </w:rPr>
              <w:t>-партньор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следва да уведоми </w:t>
            </w:r>
            <w:r w:rsidR="0040734E" w:rsidRPr="003A35E1">
              <w:rPr>
                <w:rFonts w:ascii="Verdana" w:hAnsi="Verdana" w:cs="Times New Roman"/>
                <w:sz w:val="20"/>
                <w:szCs w:val="20"/>
              </w:rPr>
              <w:t>НГФ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, като решението за изключване на кредит се вз</w:t>
            </w:r>
            <w:r w:rsidR="0040734E" w:rsidRPr="003A35E1">
              <w:rPr>
                <w:rFonts w:ascii="Verdana" w:hAnsi="Verdana" w:cs="Times New Roman"/>
                <w:sz w:val="20"/>
                <w:szCs w:val="20"/>
              </w:rPr>
              <w:t>е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ма от </w:t>
            </w:r>
            <w:r w:rsidR="0040734E" w:rsidRPr="003A35E1">
              <w:rPr>
                <w:rFonts w:ascii="Verdana" w:hAnsi="Verdana" w:cs="Times New Roman"/>
                <w:sz w:val="20"/>
                <w:szCs w:val="20"/>
              </w:rPr>
              <w:t>Фонда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в зависимост от конкретния случай и </w:t>
            </w:r>
            <w:r w:rsidR="0040734E" w:rsidRPr="003A35E1">
              <w:rPr>
                <w:rFonts w:ascii="Verdana" w:hAnsi="Verdana" w:cs="Times New Roman"/>
                <w:sz w:val="20"/>
                <w:szCs w:val="20"/>
              </w:rPr>
              <w:t>се удостоверява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E02C8" w:rsidRPr="003A35E1">
              <w:rPr>
                <w:rFonts w:ascii="Verdana" w:hAnsi="Verdana" w:cs="Times New Roman"/>
                <w:sz w:val="20"/>
                <w:szCs w:val="20"/>
              </w:rPr>
              <w:t>писмено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</w:tc>
      </w:tr>
    </w:tbl>
    <w:p w14:paraId="5CFD6B56" w14:textId="77777777" w:rsidR="005061C0" w:rsidRPr="003A35E1" w:rsidRDefault="005061C0" w:rsidP="00700C1E">
      <w:pPr>
        <w:autoSpaceDE w:val="0"/>
        <w:autoSpaceDN w:val="0"/>
        <w:adjustRightInd w:val="0"/>
        <w:spacing w:before="120" w:after="0"/>
        <w:ind w:left="-425" w:right="-692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10BB6D6" w14:textId="77777777" w:rsidR="005061C0" w:rsidRPr="003A35E1" w:rsidRDefault="00B5197D" w:rsidP="00FC1F36">
      <w:pPr>
        <w:rPr>
          <w:rFonts w:ascii="Verdana" w:hAnsi="Verdana" w:cs="Times New Roman"/>
          <w:b/>
          <w:sz w:val="20"/>
          <w:szCs w:val="20"/>
        </w:rPr>
      </w:pPr>
      <w:r w:rsidRPr="003A35E1">
        <w:rPr>
          <w:rFonts w:ascii="Verdana" w:hAnsi="Verdana" w:cs="Times New Roman"/>
          <w:b/>
          <w:sz w:val="20"/>
          <w:szCs w:val="20"/>
        </w:rPr>
        <w:t>Критерии за допустимост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119"/>
      </w:tblGrid>
      <w:tr w:rsidR="00B441BF" w:rsidRPr="003A35E1" w14:paraId="3A1F18D8" w14:textId="77777777" w:rsidTr="00A0283E">
        <w:trPr>
          <w:trHeight w:val="72"/>
        </w:trPr>
        <w:tc>
          <w:tcPr>
            <w:tcW w:w="2520" w:type="dxa"/>
          </w:tcPr>
          <w:p w14:paraId="3971D522" w14:textId="77777777" w:rsidR="002B1878" w:rsidRPr="003A35E1" w:rsidDel="00F95ACC" w:rsidRDefault="00F62240" w:rsidP="002B1878">
            <w:pPr>
              <w:spacing w:after="0"/>
              <w:ind w:right="252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Бенефициенти</w:t>
            </w:r>
          </w:p>
        </w:tc>
        <w:tc>
          <w:tcPr>
            <w:tcW w:w="7119" w:type="dxa"/>
          </w:tcPr>
          <w:p w14:paraId="5F0A4554" w14:textId="77777777" w:rsidR="0059424C" w:rsidRPr="003A35E1" w:rsidRDefault="00F622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В гарантирания портфейл могат да бъдат включвани само кредити, които </w:t>
            </w:r>
            <w:r w:rsidR="00450566" w:rsidRPr="003A35E1">
              <w:rPr>
                <w:rFonts w:ascii="Verdana" w:hAnsi="Verdana" w:cs="Times New Roman"/>
                <w:sz w:val="20"/>
                <w:szCs w:val="20"/>
              </w:rPr>
              <w:t xml:space="preserve">към момента на включване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отговарят на следните условия</w:t>
            </w:r>
            <w:r w:rsidRPr="003A35E1">
              <w:rPr>
                <w:rFonts w:ascii="Verdana" w:eastAsia="EUAlbertina-Bold-Identity-H" w:hAnsi="Verdana" w:cs="Times New Roman"/>
                <w:bCs/>
                <w:sz w:val="20"/>
                <w:szCs w:val="20"/>
              </w:rPr>
              <w:t>:</w:t>
            </w:r>
          </w:p>
          <w:p w14:paraId="281293DD" w14:textId="77777777" w:rsidR="0059424C" w:rsidRPr="003A35E1" w:rsidRDefault="00F62240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Кредитополучателят е микро, малко или средно предприятие по смисъла на </w:t>
            </w: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Закона за малките и средни предприятия</w:t>
            </w:r>
            <w:r w:rsidR="00450566" w:rsidRPr="003A35E1">
              <w:rPr>
                <w:rFonts w:ascii="Verdana" w:hAnsi="Verdana" w:cs="Times New Roman"/>
                <w:sz w:val="20"/>
                <w:szCs w:val="20"/>
              </w:rPr>
              <w:t xml:space="preserve"> (като фирмите могат да бъдат стартиращи или съществуващи);</w:t>
            </w:r>
          </w:p>
          <w:p w14:paraId="6BBF51C9" w14:textId="77777777" w:rsidR="0059424C" w:rsidRPr="003A35E1" w:rsidRDefault="00F62240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Кредитополучателя</w:t>
            </w:r>
            <w:r w:rsidR="005C49B8" w:rsidRPr="003A35E1">
              <w:rPr>
                <w:rFonts w:ascii="Verdana" w:hAnsi="Verdana" w:cs="Times New Roman"/>
                <w:sz w:val="20"/>
                <w:szCs w:val="20"/>
              </w:rPr>
              <w:t>т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не е в затруднено положение по смисъла на насоките на </w:t>
            </w:r>
            <w:r w:rsidR="00A37E5C" w:rsidRPr="003A35E1">
              <w:rPr>
                <w:rFonts w:ascii="Verdana" w:hAnsi="Verdana" w:cs="Times New Roman"/>
                <w:sz w:val="20"/>
                <w:szCs w:val="20"/>
                <w:lang w:val="en-US"/>
              </w:rPr>
              <w:t>Commission</w:t>
            </w:r>
            <w:r w:rsidR="00A37E5C"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A37E5C" w:rsidRPr="003A35E1">
              <w:rPr>
                <w:rFonts w:ascii="Verdana" w:hAnsi="Verdana" w:cs="Times New Roman"/>
                <w:sz w:val="20"/>
                <w:szCs w:val="20"/>
                <w:lang w:val="en-US"/>
              </w:rPr>
              <w:t>Regulation</w:t>
            </w:r>
            <w:r w:rsidR="00A37E5C" w:rsidRPr="003A35E1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r w:rsidR="00A37E5C" w:rsidRPr="003A35E1">
              <w:rPr>
                <w:rFonts w:ascii="Verdana" w:hAnsi="Verdana" w:cs="Times New Roman"/>
                <w:sz w:val="20"/>
                <w:szCs w:val="20"/>
                <w:lang w:val="en-US"/>
              </w:rPr>
              <w:t>EU</w:t>
            </w:r>
            <w:r w:rsidR="00A37E5C" w:rsidRPr="003A35E1">
              <w:rPr>
                <w:rFonts w:ascii="Verdana" w:hAnsi="Verdana" w:cs="Times New Roman"/>
                <w:sz w:val="20"/>
                <w:szCs w:val="20"/>
              </w:rPr>
              <w:t xml:space="preserve">) № </w:t>
            </w:r>
            <w:r w:rsidR="00A37E5C" w:rsidRPr="003A35E1">
              <w:rPr>
                <w:rFonts w:ascii="Verdana" w:hAnsi="Verdana" w:cs="Times New Roman"/>
                <w:sz w:val="20"/>
                <w:szCs w:val="20"/>
                <w:lang w:val="en-US"/>
              </w:rPr>
              <w:t>C</w:t>
            </w:r>
            <w:r w:rsidR="00A37E5C" w:rsidRPr="003A35E1">
              <w:rPr>
                <w:rFonts w:ascii="Verdana" w:hAnsi="Verdana" w:cs="Times New Roman"/>
                <w:sz w:val="20"/>
                <w:szCs w:val="20"/>
              </w:rPr>
              <w:t>(2014) 3292/3 от 21.03.2014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; </w:t>
            </w:r>
          </w:p>
          <w:p w14:paraId="25B17752" w14:textId="77777777" w:rsidR="00366AF8" w:rsidRDefault="00F62240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Кредитополучателят не осъществява дейност в Ограничените сектори</w:t>
            </w:r>
            <w:r w:rsidR="00366AF8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</w:p>
          <w:p w14:paraId="243B3C76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t>а) измама по смисъла на член 3 от Директива (ЕС) 2017/1371 на Европейския парламент и на Съвета и член 1 от Конвенцията за защита на финансовите интереси на Европейските общности, съставена с акта на Съвета от 26 юли 1995 г.;</w:t>
            </w:r>
          </w:p>
          <w:p w14:paraId="0F8B5323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t>б) корупция съгласно определението в член 4, параграф 2 от Директива (ЕС) 2017/1371 или активна корупция по смисъла на член 3 от Конвенцията за борба с корупцията, в която участват длъжностни лица на Европейските общности или длъжностни лица на държавите — членки на Европейския съюз, съставена с акта на Съвета от 26 май 1997 г., или поведение, посочено в член 2, параграф 1 от Рамково решение 2003/568/ПВР на Съвета, или корупция по смисъла на друго приложимо право;</w:t>
            </w:r>
          </w:p>
          <w:p w14:paraId="6F011824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t>в) поведение, свързано с престъпна организация, съгласно посоченото в член 2 от Рамково решение 2008/841/ПВР на Съвета;</w:t>
            </w:r>
          </w:p>
          <w:p w14:paraId="18080049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lastRenderedPageBreak/>
              <w:t>г) изпиране на пари или финансиране на тероризъм по смисъла на член 1, параграфи 3, 4 и 5 от Директива (ЕС) 2015/849 на Европейския парламент и на Съвета;</w:t>
            </w:r>
          </w:p>
          <w:p w14:paraId="05FFB6E2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t>д) терористични престъпления или престъпления, свързани с терористични дейности, по смисъла съответно на членове 1 и 3 от Рамково решение 2002/475/ПВР на Съвета, или подбудителство, помагачество или опит за извършване на такива престъпления, посочени в член 4 от същото решение;</w:t>
            </w:r>
          </w:p>
          <w:p w14:paraId="3E179EB8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t>е) детски труд или други престъпления, свързани с трафик на хора по смисъла на член 2 от Директива 2011/36/ЕС на Европейския парламент и на Съвета;</w:t>
            </w:r>
          </w:p>
          <w:p w14:paraId="2B30CF8A" w14:textId="77777777" w:rsidR="00366AF8" w:rsidRPr="00E5682F" w:rsidRDefault="00366AF8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/>
                <w:sz w:val="20"/>
                <w:szCs w:val="20"/>
              </w:rPr>
            </w:pPr>
            <w:r w:rsidRPr="00E5682F">
              <w:rPr>
                <w:rFonts w:ascii="Verdana" w:hAnsi="Verdana" w:cs="Times New Roman"/>
                <w:sz w:val="20"/>
                <w:szCs w:val="20"/>
              </w:rPr>
              <w:t>ж) престъпление по чл. 108а, чл. 159а – 159г, чл. 172, чл. 192а, чл. 194 – 217, чл. 219 – 252, чл. 253 – 260, чл. 301 – 307, чл. 321, 321а и чл. 352 – 353е от Наказателния кодекс;</w:t>
            </w:r>
          </w:p>
          <w:p w14:paraId="0A969AAE" w14:textId="1DF15580" w:rsidR="0059424C" w:rsidRPr="003A35E1" w:rsidRDefault="0059424C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EB8CBDE" w14:textId="4E69CFF0" w:rsidR="0059424C" w:rsidRPr="003A35E1" w:rsidRDefault="00450566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К</w:t>
            </w:r>
            <w:r w:rsidR="00F62240" w:rsidRPr="003A35E1">
              <w:rPr>
                <w:rFonts w:ascii="Verdana" w:hAnsi="Verdana" w:cs="Times New Roman"/>
                <w:sz w:val="20"/>
                <w:szCs w:val="20"/>
              </w:rPr>
              <w:t xml:space="preserve">редитополучателят, както и </w:t>
            </w:r>
            <w:r w:rsidR="005C49B8" w:rsidRPr="00E5682F">
              <w:rPr>
                <w:rFonts w:ascii="Verdana" w:hAnsi="Verdana" w:cs="Times New Roman"/>
                <w:sz w:val="20"/>
                <w:szCs w:val="20"/>
              </w:rPr>
              <w:t>С</w:t>
            </w:r>
            <w:r w:rsidR="00F62240" w:rsidRPr="00E5682F">
              <w:rPr>
                <w:rFonts w:ascii="Verdana" w:hAnsi="Verdana" w:cs="Times New Roman"/>
                <w:sz w:val="20"/>
                <w:szCs w:val="20"/>
              </w:rPr>
              <w:t>вързаните с него лица</w:t>
            </w:r>
            <w:r w:rsidR="00F62240" w:rsidRPr="003A35E1">
              <w:rPr>
                <w:rFonts w:ascii="Verdana" w:hAnsi="Verdana" w:cs="Times New Roman"/>
                <w:sz w:val="20"/>
                <w:szCs w:val="20"/>
              </w:rPr>
              <w:t xml:space="preserve">, нямат </w:t>
            </w:r>
            <w:r w:rsidR="006432A3" w:rsidRPr="003A35E1">
              <w:rPr>
                <w:rFonts w:ascii="Verdana" w:hAnsi="Verdana" w:cs="Times New Roman"/>
                <w:sz w:val="20"/>
                <w:szCs w:val="20"/>
              </w:rPr>
              <w:t>просрочено задължение или задължение</w:t>
            </w:r>
            <w:r w:rsidR="00745AF2" w:rsidRPr="003A35E1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6432A3" w:rsidRPr="003A35E1">
              <w:rPr>
                <w:rFonts w:ascii="Verdana" w:hAnsi="Verdana" w:cs="Times New Roman"/>
                <w:sz w:val="20"/>
                <w:szCs w:val="20"/>
              </w:rPr>
              <w:t xml:space="preserve"> класифицирано като загуба </w:t>
            </w:r>
            <w:r w:rsidR="00D4521E" w:rsidRPr="003A35E1">
              <w:rPr>
                <w:rFonts w:ascii="Verdana" w:hAnsi="Verdana" w:cs="Times New Roman"/>
                <w:sz w:val="20"/>
                <w:szCs w:val="20"/>
              </w:rPr>
              <w:t xml:space="preserve">в размер над 2500 лв. </w:t>
            </w:r>
            <w:r w:rsidR="006432A3" w:rsidRPr="003A35E1">
              <w:rPr>
                <w:rFonts w:ascii="Verdana" w:hAnsi="Verdana" w:cs="Times New Roman"/>
                <w:sz w:val="20"/>
                <w:szCs w:val="20"/>
              </w:rPr>
              <w:t>към търговска банка</w:t>
            </w:r>
            <w:r w:rsidR="008C6C85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6432A3" w:rsidRPr="003A35E1">
              <w:rPr>
                <w:rFonts w:ascii="Verdana" w:hAnsi="Verdana" w:cs="Times New Roman"/>
                <w:sz w:val="20"/>
                <w:szCs w:val="20"/>
              </w:rPr>
              <w:t>лизингово дружество</w:t>
            </w:r>
            <w:r w:rsidR="008C6C85">
              <w:rPr>
                <w:rFonts w:ascii="Verdana" w:hAnsi="Verdana" w:cs="Times New Roman"/>
                <w:sz w:val="20"/>
                <w:szCs w:val="20"/>
              </w:rPr>
              <w:t xml:space="preserve"> или финансова институция</w:t>
            </w:r>
            <w:r w:rsidR="00F62240" w:rsidRPr="003A35E1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2271E881" w14:textId="77777777" w:rsidR="0059424C" w:rsidRPr="003A35E1" w:rsidRDefault="00F62240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Кредитополучателят е с известен краен контролиращ собственик – не се допуска включване в гарантирания портфейл на кредити на фирми</w:t>
            </w:r>
            <w:r w:rsidR="00E60E23" w:rsidRPr="003A35E1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CE4990" w:rsidRPr="003A35E1">
              <w:rPr>
                <w:rFonts w:ascii="Verdana" w:hAnsi="Verdana" w:cs="Times New Roman"/>
                <w:sz w:val="20"/>
                <w:szCs w:val="20"/>
              </w:rPr>
              <w:t xml:space="preserve">регистрирани в </w:t>
            </w:r>
            <w:r w:rsidR="00CE4990" w:rsidRPr="003A35E1">
              <w:rPr>
                <w:rStyle w:val="legaldocreference"/>
                <w:rFonts w:ascii="Verdana" w:hAnsi="Verdana" w:cs="Times New Roman"/>
                <w:sz w:val="20"/>
                <w:szCs w:val="20"/>
                <w:shd w:val="clear" w:color="auto" w:fill="FEFEFE"/>
              </w:rPr>
              <w:t>юрисдикции с преференциален данъчен режим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06F16313" w14:textId="77777777" w:rsidR="0059424C" w:rsidRPr="003A35E1" w:rsidRDefault="00F62240" w:rsidP="00450566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Фирмата на кредитополучателя е регистрирана в </w:t>
            </w:r>
            <w:r w:rsidR="00B549EF">
              <w:rPr>
                <w:rFonts w:ascii="Verdana" w:hAnsi="Verdana" w:cs="Times New Roman"/>
                <w:sz w:val="20"/>
                <w:szCs w:val="20"/>
              </w:rPr>
              <w:t xml:space="preserve">Р.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България съгласно Търговския закон</w:t>
            </w:r>
            <w:r w:rsidR="00C21CFF" w:rsidRPr="003A35E1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75728AF1" w14:textId="77777777" w:rsidR="0059424C" w:rsidRDefault="00F62240" w:rsidP="000812FB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Няма наличие на данни кредитополучателят да е свързан с измама, нелегална дейност и други подобни практики</w:t>
            </w:r>
            <w:r w:rsidR="00DE6A06" w:rsidRPr="003A35E1">
              <w:rPr>
                <w:rFonts w:ascii="Verdana" w:hAnsi="Verdana" w:cs="Times New Roman"/>
                <w:sz w:val="20"/>
                <w:szCs w:val="20"/>
              </w:rPr>
              <w:t>, съгласно вътрешните правила и процедури</w:t>
            </w:r>
            <w:r w:rsidR="000812FB" w:rsidRPr="003A35E1">
              <w:rPr>
                <w:rFonts w:ascii="Verdana" w:hAnsi="Verdana" w:cs="Times New Roman"/>
                <w:sz w:val="20"/>
                <w:szCs w:val="20"/>
              </w:rPr>
              <w:t xml:space="preserve"> на банката-партньор</w:t>
            </w:r>
            <w:r w:rsidR="00DE6A06" w:rsidRPr="003A35E1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14:paraId="464944D9" w14:textId="77777777" w:rsidR="00C43922" w:rsidRDefault="00C43922" w:rsidP="00A0283E">
            <w:pPr>
              <w:numPr>
                <w:ilvl w:val="1"/>
                <w:numId w:val="1"/>
              </w:numPr>
              <w:tabs>
                <w:tab w:val="clear" w:pos="1080"/>
                <w:tab w:val="num" w:pos="459"/>
              </w:tabs>
              <w:autoSpaceDE w:val="0"/>
              <w:autoSpaceDN w:val="0"/>
              <w:adjustRightInd w:val="0"/>
              <w:spacing w:after="0"/>
              <w:ind w:left="459" w:hanging="436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Не е обект на </w:t>
            </w:r>
            <w:r w:rsidR="007F6B8B" w:rsidRPr="007F6B8B">
              <w:rPr>
                <w:rFonts w:ascii="Verdana" w:hAnsi="Verdana" w:cs="Times New Roman"/>
                <w:sz w:val="20"/>
                <w:szCs w:val="20"/>
              </w:rPr>
              <w:t>всякакви икономически или финансови санкции, ограничения или търговско ембарго, налагани, администрирани или прилагани периодично от който и да е Санкциониращ Орган.</w:t>
            </w:r>
          </w:p>
          <w:p w14:paraId="03E31812" w14:textId="77777777" w:rsidR="00C43922" w:rsidRPr="003A35E1" w:rsidRDefault="00C43922" w:rsidP="00E5682F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441BF" w:rsidRPr="003A35E1" w14:paraId="349ADB15" w14:textId="77777777" w:rsidTr="00A0283E">
        <w:trPr>
          <w:trHeight w:val="72"/>
        </w:trPr>
        <w:tc>
          <w:tcPr>
            <w:tcW w:w="2520" w:type="dxa"/>
          </w:tcPr>
          <w:p w14:paraId="5608FA0C" w14:textId="77777777" w:rsidR="002B1878" w:rsidRPr="003A35E1" w:rsidRDefault="00F62240" w:rsidP="002B1878">
            <w:pPr>
              <w:spacing w:after="0"/>
              <w:ind w:right="252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>Кредити</w:t>
            </w:r>
          </w:p>
        </w:tc>
        <w:tc>
          <w:tcPr>
            <w:tcW w:w="7119" w:type="dxa"/>
          </w:tcPr>
          <w:p w14:paraId="316D878F" w14:textId="77777777" w:rsidR="0059424C" w:rsidRPr="003A35E1" w:rsidRDefault="00F622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Кредитите, включвани в гарантирания портфейл следва да отговарят на следните условия:</w:t>
            </w:r>
          </w:p>
          <w:p w14:paraId="51F653B0" w14:textId="77777777" w:rsidR="00EA7460" w:rsidRPr="003A35E1" w:rsidRDefault="00EA7460" w:rsidP="00EA74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Предназначение:</w:t>
            </w:r>
          </w:p>
          <w:p w14:paraId="71F55F80" w14:textId="77777777" w:rsidR="00EA7460" w:rsidRPr="003A35E1" w:rsidRDefault="00EA7460" w:rsidP="00EA746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885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инвестиционни;</w:t>
            </w:r>
          </w:p>
          <w:p w14:paraId="6D5DA629" w14:textId="77777777" w:rsidR="00EA7460" w:rsidRPr="003A35E1" w:rsidRDefault="00EA7460" w:rsidP="00EA746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885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револвиращи/оборотни;</w:t>
            </w:r>
          </w:p>
          <w:p w14:paraId="3CBC6C0E" w14:textId="77777777" w:rsidR="00EA7460" w:rsidRPr="003A35E1" w:rsidRDefault="00EA7460" w:rsidP="00EA746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885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лимити за банкови гаранции;</w:t>
            </w:r>
          </w:p>
          <w:p w14:paraId="238A23FD" w14:textId="77777777" w:rsidR="00EA7460" w:rsidRPr="003A35E1" w:rsidRDefault="00EA7460" w:rsidP="00EA74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Срок:</w:t>
            </w:r>
          </w:p>
          <w:p w14:paraId="05935EA8" w14:textId="77777777" w:rsidR="00EA7460" w:rsidRPr="003A35E1" w:rsidRDefault="00EA7460" w:rsidP="00EA7460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а) до </w:t>
            </w:r>
            <w:r w:rsidRPr="00C6501B">
              <w:rPr>
                <w:rFonts w:ascii="Verdana" w:hAnsi="Verdana" w:cs="Times New Roman"/>
                <w:sz w:val="20"/>
                <w:szCs w:val="20"/>
              </w:rPr>
              <w:t>180 месеца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за инвестиционните кредити;</w:t>
            </w:r>
          </w:p>
          <w:p w14:paraId="01A2F9EC" w14:textId="77777777" w:rsidR="00EA7460" w:rsidRPr="003A35E1" w:rsidRDefault="00EA7460" w:rsidP="00EA7460">
            <w:p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б) до 72 месеца за оборотни кредити и банкови гаранции; </w:t>
            </w:r>
          </w:p>
          <w:p w14:paraId="645A90A0" w14:textId="77777777" w:rsidR="00EA7460" w:rsidRPr="003A35E1" w:rsidRDefault="00CE4990" w:rsidP="00EA74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Н</w:t>
            </w:r>
            <w:r w:rsidR="00EA7460" w:rsidRPr="003A35E1">
              <w:rPr>
                <w:rFonts w:ascii="Verdana" w:hAnsi="Verdana" w:cs="Times New Roman"/>
                <w:sz w:val="20"/>
                <w:szCs w:val="20"/>
              </w:rPr>
              <w:t>овоотпуснати кредити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след дата на подписване на гаранционно</w:t>
            </w:r>
            <w:r w:rsidR="00E60E23" w:rsidRPr="003A35E1">
              <w:rPr>
                <w:rFonts w:ascii="Verdana" w:hAnsi="Verdana" w:cs="Times New Roman"/>
                <w:sz w:val="20"/>
                <w:szCs w:val="20"/>
              </w:rPr>
              <w:t>то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споразумение</w:t>
            </w:r>
            <w:r w:rsidR="00E60E23" w:rsidRPr="003A35E1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EA7460" w:rsidRPr="003A35E1">
              <w:rPr>
                <w:rFonts w:ascii="Verdana" w:hAnsi="Verdana" w:cs="Times New Roman"/>
                <w:sz w:val="20"/>
                <w:szCs w:val="20"/>
              </w:rPr>
              <w:t xml:space="preserve"> като </w:t>
            </w:r>
            <w:r w:rsidR="00EA7460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до 30% от </w:t>
            </w:r>
            <w:r w:rsidR="00E60E23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размера на </w:t>
            </w:r>
            <w:r w:rsidR="00EA7460" w:rsidRPr="003A35E1">
              <w:rPr>
                <w:rFonts w:ascii="Verdana" w:hAnsi="Verdana" w:cs="Times New Roman"/>
                <w:bCs/>
                <w:sz w:val="20"/>
                <w:szCs w:val="20"/>
              </w:rPr>
              <w:t>кредита може да включва:</w:t>
            </w:r>
          </w:p>
          <w:p w14:paraId="016B2551" w14:textId="77777777" w:rsidR="00EA7460" w:rsidRPr="003A35E1" w:rsidRDefault="00EA7460" w:rsidP="00EA746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885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Предсрочно погасяване, преструктуриране, новация или друго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преобразуване на съществуващ кредит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към банката-партньор;</w:t>
            </w:r>
          </w:p>
          <w:p w14:paraId="0683558B" w14:textId="77777777" w:rsidR="00EA7460" w:rsidRPr="003A35E1" w:rsidRDefault="00EA7460" w:rsidP="00EA7460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/>
              <w:ind w:left="885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Рефинансиране на съществуващ кредит, отпуснат от друга банка,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преди падежа му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7775630D" w14:textId="77777777" w:rsidR="00EA7460" w:rsidRPr="003A35E1" w:rsidRDefault="0068100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Да са с фиксиран погасителен план и вноски по главницата, най-голямата, от които не може да надхвърля 1/6 от първоначалната главница (не се допускат булет</w:t>
            </w:r>
            <w:r w:rsidR="00C6501B">
              <w:rPr>
                <w:rFonts w:ascii="Verdana" w:hAnsi="Verdana" w:cs="Times New Roman"/>
                <w:sz w:val="20"/>
                <w:szCs w:val="20"/>
              </w:rPr>
              <w:t>н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и</w:t>
            </w:r>
            <w:r w:rsidR="00C6501B">
              <w:rPr>
                <w:rFonts w:ascii="Verdana" w:hAnsi="Verdana" w:cs="Times New Roman"/>
                <w:sz w:val="20"/>
                <w:szCs w:val="20"/>
              </w:rPr>
              <w:t xml:space="preserve"> плащания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), с изключение на случаите на погасяване на кредита от постъпления от субсидии по изпълнение на проекти по оперативни програми на ЕС, плащания на единица площ и др. подобни;</w:t>
            </w:r>
          </w:p>
          <w:p w14:paraId="6D65DFD7" w14:textId="77777777" w:rsidR="00681006" w:rsidRPr="003A35E1" w:rsidRDefault="00681006" w:rsidP="0068100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Да са включени в гарантирания портфейл изцяло, </w:t>
            </w:r>
            <w:r w:rsidRPr="003A35E1">
              <w:rPr>
                <w:rFonts w:ascii="Verdana" w:hAnsi="Verdana" w:cs="Times New Roman"/>
                <w:bCs/>
                <w:sz w:val="20"/>
                <w:szCs w:val="20"/>
              </w:rPr>
              <w:t>частично включване не се допуска.</w:t>
            </w:r>
            <w:r w:rsidRPr="003A35E1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  <w:p w14:paraId="78492E44" w14:textId="77777777" w:rsidR="0059424C" w:rsidRPr="003A35E1" w:rsidRDefault="00C2335D" w:rsidP="00C233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Да са използвани целево, което</w:t>
            </w:r>
            <w:r w:rsidR="00F62240" w:rsidRPr="003A35E1">
              <w:rPr>
                <w:rFonts w:ascii="Verdana" w:hAnsi="Verdana" w:cs="Times New Roman"/>
                <w:sz w:val="20"/>
                <w:szCs w:val="20"/>
              </w:rPr>
              <w:t xml:space="preserve"> банката-партньор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установява въз основа на</w:t>
            </w:r>
            <w:r w:rsidR="00F62240"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62240" w:rsidRPr="003A35E1">
              <w:rPr>
                <w:rFonts w:ascii="Verdana" w:hAnsi="Verdana" w:cs="Times New Roman"/>
                <w:bCs/>
                <w:sz w:val="20"/>
                <w:szCs w:val="20"/>
              </w:rPr>
              <w:t>разходо</w:t>
            </w:r>
            <w:r w:rsidR="00C43922">
              <w:rPr>
                <w:rFonts w:ascii="Verdana" w:hAnsi="Verdana" w:cs="Times New Roman"/>
                <w:bCs/>
                <w:sz w:val="20"/>
                <w:szCs w:val="20"/>
              </w:rPr>
              <w:t>-</w:t>
            </w:r>
            <w:r w:rsidR="00F62240" w:rsidRPr="003A35E1">
              <w:rPr>
                <w:rFonts w:ascii="Verdana" w:hAnsi="Verdana" w:cs="Times New Roman"/>
                <w:bCs/>
                <w:sz w:val="20"/>
                <w:szCs w:val="20"/>
              </w:rPr>
              <w:t>оправдателни документи</w:t>
            </w:r>
            <w:r w:rsidR="00F85B03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(</w:t>
            </w:r>
            <w:r w:rsidR="005E61C7" w:rsidRPr="003A35E1">
              <w:rPr>
                <w:rFonts w:ascii="Verdana" w:hAnsi="Verdana" w:cs="Times New Roman"/>
                <w:bCs/>
                <w:sz w:val="20"/>
                <w:szCs w:val="20"/>
              </w:rPr>
              <w:t>допустимо е</w:t>
            </w:r>
            <w:r w:rsidR="00F85B03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възстановяване на вече извършени разходи</w:t>
            </w:r>
            <w:r w:rsidR="00745AF2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 или заплащане на разходи, възникнали </w:t>
            </w:r>
            <w:r w:rsidR="005E61C7" w:rsidRPr="003A35E1">
              <w:rPr>
                <w:rFonts w:ascii="Verdana" w:hAnsi="Verdana" w:cs="Times New Roman"/>
                <w:bCs/>
                <w:sz w:val="20"/>
                <w:szCs w:val="20"/>
              </w:rPr>
              <w:t xml:space="preserve">не по-рано от 30 дни </w:t>
            </w:r>
            <w:r w:rsidR="00745AF2" w:rsidRPr="003A35E1">
              <w:rPr>
                <w:rFonts w:ascii="Verdana" w:hAnsi="Verdana" w:cs="Times New Roman"/>
                <w:bCs/>
                <w:sz w:val="20"/>
                <w:szCs w:val="20"/>
              </w:rPr>
              <w:t>преди датата на договора за кредит</w:t>
            </w:r>
            <w:r w:rsidR="00F85B03" w:rsidRPr="003A35E1">
              <w:rPr>
                <w:rFonts w:ascii="Verdana" w:hAnsi="Verdana" w:cs="Times New Roman"/>
                <w:bCs/>
                <w:sz w:val="20"/>
                <w:szCs w:val="20"/>
              </w:rPr>
              <w:t>)</w:t>
            </w:r>
            <w:r w:rsidR="00F62240" w:rsidRPr="003A35E1">
              <w:rPr>
                <w:rFonts w:ascii="Verdana" w:hAnsi="Verdana" w:cs="Times New Roman"/>
                <w:bCs/>
                <w:sz w:val="20"/>
                <w:szCs w:val="20"/>
              </w:rPr>
              <w:t>.</w:t>
            </w:r>
          </w:p>
          <w:p w14:paraId="2A80EDF3" w14:textId="77777777" w:rsidR="0059424C" w:rsidRPr="003A35E1" w:rsidRDefault="003E52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59" w:hanging="41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Да са в рамките на максимално разрешената гарантирана експозиция</w:t>
            </w:r>
            <w:r w:rsidR="000D52A2" w:rsidRPr="003A35E1">
              <w:rPr>
                <w:rFonts w:ascii="Verdana" w:hAnsi="Verdana" w:cs="Times New Roman"/>
                <w:sz w:val="20"/>
                <w:szCs w:val="20"/>
              </w:rPr>
              <w:t xml:space="preserve"> на индивидуален кредитополучател и Свързани лица от 2 млн. лв. към съответната банка-партньор по настоящата гаранционна схема за срока на гаранционното споразумение.</w:t>
            </w:r>
          </w:p>
          <w:p w14:paraId="2F3557DF" w14:textId="77777777" w:rsidR="000D52A2" w:rsidRPr="003A35E1" w:rsidRDefault="000D52A2" w:rsidP="000D52A2">
            <w:pPr>
              <w:autoSpaceDE w:val="0"/>
              <w:autoSpaceDN w:val="0"/>
              <w:adjustRightInd w:val="0"/>
              <w:spacing w:after="0"/>
              <w:ind w:left="4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C78E2A0" w14:textId="77777777" w:rsidR="001737F0" w:rsidRPr="003A35E1" w:rsidRDefault="000D52A2" w:rsidP="000D52A2">
            <w:pPr>
              <w:autoSpaceDE w:val="0"/>
              <w:autoSpaceDN w:val="0"/>
              <w:adjustRightInd w:val="0"/>
              <w:spacing w:after="0"/>
              <w:ind w:left="40"/>
              <w:jc w:val="both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(</w:t>
            </w:r>
            <w:r w:rsidR="00A91DC3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Допустимо е включването в </w:t>
            </w:r>
            <w:r w:rsidR="00605FA9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гарантирания портфейл на кредити, които са </w:t>
            </w:r>
            <w:r w:rsidR="00EC4E35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гарантира</w:t>
            </w:r>
            <w:r w:rsidR="00605FA9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ни </w:t>
            </w:r>
            <w:r w:rsidR="00EC4E35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от </w:t>
            </w:r>
            <w:r w:rsidR="00B441BF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Многостранна банка за развитие</w:t>
            </w:r>
            <w:r w:rsidR="00EC4E35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или дъщерно на </w:t>
            </w:r>
            <w:r w:rsidR="00B441BF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нея</w:t>
            </w:r>
            <w:r w:rsidR="00EC4E35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дружество, като в този случай </w:t>
            </w:r>
            <w:r w:rsidR="00B441BF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кредитиращата </w:t>
            </w:r>
            <w:r w:rsidR="00EC4E35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банката следва да </w:t>
            </w:r>
            <w:r w:rsidR="00B441BF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задържи</w:t>
            </w:r>
            <w:r w:rsidR="00EC4E35"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 xml:space="preserve"> риск не по малък от 20%</w:t>
            </w:r>
            <w:r w:rsidRPr="003A35E1">
              <w:rPr>
                <w:rFonts w:ascii="Verdana" w:hAnsi="Verdana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B441BF" w:rsidRPr="003A35E1" w14:paraId="79D22DAB" w14:textId="77777777" w:rsidTr="00A0283E">
        <w:trPr>
          <w:trHeight w:val="72"/>
        </w:trPr>
        <w:tc>
          <w:tcPr>
            <w:tcW w:w="2520" w:type="dxa"/>
          </w:tcPr>
          <w:p w14:paraId="33D38EFE" w14:textId="77777777" w:rsidR="002B1878" w:rsidRPr="003A35E1" w:rsidRDefault="00F62240" w:rsidP="00DE3163">
            <w:pPr>
              <w:spacing w:after="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 xml:space="preserve">Ограничени </w:t>
            </w:r>
            <w:r w:rsidR="000141CF"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дейности и групи</w:t>
            </w:r>
          </w:p>
        </w:tc>
        <w:tc>
          <w:tcPr>
            <w:tcW w:w="7119" w:type="dxa"/>
          </w:tcPr>
          <w:p w14:paraId="5621825C" w14:textId="77777777" w:rsidR="00E60E23" w:rsidRPr="00E5682F" w:rsidRDefault="00E60E23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Кредитополучателят не е:</w:t>
            </w:r>
          </w:p>
          <w:p w14:paraId="5E92E653" w14:textId="154DA911" w:rsidR="00CE4990" w:rsidRPr="00E5682F" w:rsidRDefault="00CE4990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1) </w:t>
            </w:r>
            <w:r w:rsidR="00FC1F36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Дружество, с неизвестен краен контролиращ собственик.</w:t>
            </w:r>
          </w:p>
          <w:p w14:paraId="449AF55D" w14:textId="5F5B9FDB" w:rsidR="00CE4990" w:rsidRPr="00E5682F" w:rsidRDefault="00CE4990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2) </w:t>
            </w:r>
            <w:r w:rsidR="00FC1F36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Политическа партия и свързано с тях лице. По смисъла на настоящата точка свързани с политически партии лица са: младежки, женски и други организации, които по закон партиите могат да създават, както и лица, създадени от политическите партии за осъществяване на единствено разрешената им от закона стопанска дейност - издателска дейност, авторски права и ползване на интелектуална собственост, както и от продажба и разпространение на печатни, аудио и аудиовизуални материали с партийно-пропагандно съдържание.;</w:t>
            </w:r>
          </w:p>
          <w:p w14:paraId="07C3CA41" w14:textId="5910749E" w:rsidR="00CE4990" w:rsidRPr="00E5682F" w:rsidRDefault="00CE4990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3)</w:t>
            </w:r>
            <w:r w:rsidR="00FC1F36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Дружество и организация с нестопанска цел;</w:t>
            </w:r>
          </w:p>
          <w:p w14:paraId="7D32CE71" w14:textId="6756A5FE" w:rsidR="00CE4990" w:rsidRPr="00E5682F" w:rsidRDefault="00CE4990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4)</w:t>
            </w:r>
            <w:r w:rsidR="00FC1F36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Медия;</w:t>
            </w:r>
          </w:p>
          <w:p w14:paraId="2126B30C" w14:textId="77777777" w:rsidR="00C43922" w:rsidRPr="00E5682F" w:rsidRDefault="00C43922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</w:p>
          <w:p w14:paraId="64AF9FB6" w14:textId="418F146C" w:rsidR="00CE4990" w:rsidRPr="00E5682F" w:rsidRDefault="00CE4990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</w:rPr>
              <w:t>и не осъществява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:</w:t>
            </w:r>
          </w:p>
          <w:p w14:paraId="408EE67A" w14:textId="290F4D9A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5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)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Дейности, които са в несъответствие с националното законодателство, включително за опазване на околната среда;</w:t>
            </w:r>
          </w:p>
          <w:p w14:paraId="452CBC99" w14:textId="4B20D9AC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6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)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Дейности, свързани със спорт и спортни прояви;</w:t>
            </w:r>
          </w:p>
          <w:p w14:paraId="604C1119" w14:textId="77777777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7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)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Дейности, свързани с хазарт и свързаното с него оборудване;</w:t>
            </w:r>
          </w:p>
          <w:p w14:paraId="6138CBEA" w14:textId="77777777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8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) </w:t>
            </w: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 xml:space="preserve">  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Търговия с електрическа енергия;</w:t>
            </w:r>
          </w:p>
          <w:p w14:paraId="5AF3B60F" w14:textId="77777777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9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)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ab/>
              <w:t>Производство и търговия на алкохолни напитки с концентрация на алкохол по-висока от 20%;</w:t>
            </w:r>
          </w:p>
          <w:p w14:paraId="529C466C" w14:textId="77777777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10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) Производство, преработка или търговия с опасни материали, наркотични и психотропни вещества;</w:t>
            </w:r>
          </w:p>
          <w:p w14:paraId="5046896E" w14:textId="77777777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11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)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ab/>
              <w:t xml:space="preserve">Производство и разпространение на забранени пестициди 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lastRenderedPageBreak/>
              <w:t>и хербициди;</w:t>
            </w:r>
          </w:p>
          <w:p w14:paraId="3D1325E4" w14:textId="77777777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12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) Производство и търговия с оръжие и боеприпаси;</w:t>
            </w:r>
          </w:p>
          <w:p w14:paraId="22A16902" w14:textId="464B7553" w:rsidR="00CE4990" w:rsidRPr="00E5682F" w:rsidRDefault="00FC1F36" w:rsidP="00E5682F">
            <w:pPr>
              <w:pStyle w:val="NoSpacing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E5682F">
              <w:rPr>
                <w:rFonts w:ascii="Verdana" w:hAnsi="Verdana"/>
                <w:sz w:val="20"/>
                <w:szCs w:val="20"/>
                <w:lang w:eastAsia="ar-SA"/>
              </w:rPr>
              <w:t>13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>)</w:t>
            </w:r>
            <w:r w:rsidR="00CE4990" w:rsidRPr="00E5682F">
              <w:rPr>
                <w:rFonts w:ascii="Verdana" w:hAnsi="Verdana"/>
                <w:sz w:val="20"/>
                <w:szCs w:val="20"/>
                <w:lang w:eastAsia="ar-SA"/>
              </w:rPr>
              <w:tab/>
              <w:t>Други забранени от закона дейности</w:t>
            </w:r>
          </w:p>
          <w:p w14:paraId="254628A7" w14:textId="77777777" w:rsidR="00CE4990" w:rsidRPr="00E5682F" w:rsidRDefault="00CE4990" w:rsidP="00E5682F">
            <w:pPr>
              <w:pStyle w:val="NoSpacing"/>
              <w:rPr>
                <w:rFonts w:ascii="Verdana" w:hAnsi="Verdana" w:cs="Times New Roman"/>
                <w:sz w:val="20"/>
                <w:szCs w:val="20"/>
              </w:rPr>
            </w:pPr>
          </w:p>
          <w:p w14:paraId="0F92479E" w14:textId="77777777" w:rsidR="00CE4990" w:rsidRPr="00E5682F" w:rsidRDefault="00CE4990" w:rsidP="00E5682F">
            <w:pPr>
              <w:pStyle w:val="NoSpacing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0F2EFEF2" w14:textId="77777777" w:rsidR="00FC1F36" w:rsidRPr="003A35E1" w:rsidRDefault="00FC1F36" w:rsidP="00FC1F36">
      <w:pPr>
        <w:pStyle w:val="ListParagraph"/>
        <w:spacing w:before="120" w:after="120"/>
        <w:rPr>
          <w:rFonts w:ascii="Times New Roman" w:hAnsi="Times New Roman" w:cs="Times New Roman"/>
          <w:b/>
          <w:sz w:val="20"/>
          <w:szCs w:val="20"/>
        </w:rPr>
      </w:pPr>
    </w:p>
    <w:p w14:paraId="18F74D47" w14:textId="77777777" w:rsidR="002B1878" w:rsidRPr="003A35E1" w:rsidRDefault="00F62240" w:rsidP="00DC46FB">
      <w:pPr>
        <w:pStyle w:val="ListParagraph"/>
        <w:numPr>
          <w:ilvl w:val="0"/>
          <w:numId w:val="16"/>
        </w:numPr>
        <w:spacing w:before="120" w:after="120"/>
        <w:rPr>
          <w:rFonts w:ascii="Verdana" w:hAnsi="Verdana" w:cs="Times New Roman"/>
          <w:b/>
          <w:sz w:val="20"/>
          <w:szCs w:val="20"/>
        </w:rPr>
      </w:pPr>
      <w:r w:rsidRPr="003A35E1">
        <w:rPr>
          <w:rFonts w:ascii="Verdana" w:hAnsi="Verdana" w:cs="Times New Roman"/>
          <w:b/>
          <w:sz w:val="20"/>
          <w:szCs w:val="20"/>
        </w:rPr>
        <w:t>Други условия</w:t>
      </w:r>
    </w:p>
    <w:tbl>
      <w:tblPr>
        <w:tblW w:w="9815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119"/>
      </w:tblGrid>
      <w:tr w:rsidR="00B441BF" w:rsidRPr="003A35E1" w14:paraId="7F95F989" w14:textId="77777777" w:rsidTr="00A0283E">
        <w:trPr>
          <w:trHeight w:val="72"/>
        </w:trPr>
        <w:tc>
          <w:tcPr>
            <w:tcW w:w="2696" w:type="dxa"/>
          </w:tcPr>
          <w:p w14:paraId="625C5B95" w14:textId="77777777" w:rsidR="00FC218C" w:rsidRPr="003A35E1" w:rsidRDefault="00F62240" w:rsidP="00DC46FB">
            <w:pPr>
              <w:spacing w:before="60" w:after="60"/>
              <w:ind w:right="33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Прекратяване на включването на кредити в гарантирания портфейл</w:t>
            </w:r>
          </w:p>
        </w:tc>
        <w:tc>
          <w:tcPr>
            <w:tcW w:w="7119" w:type="dxa"/>
          </w:tcPr>
          <w:p w14:paraId="0C324537" w14:textId="77777777" w:rsidR="0059424C" w:rsidRPr="003A35E1" w:rsidRDefault="00F62240" w:rsidP="00DC46F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При достигане на ниво от 10% от сумата на гаранциите по кредити</w:t>
            </w:r>
            <w:r w:rsidR="007542C4" w:rsidRPr="003A35E1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изключени по реда на извършен мониторинг към сумата на </w:t>
            </w:r>
            <w:r w:rsidR="00367E51" w:rsidRPr="003A35E1">
              <w:rPr>
                <w:rFonts w:ascii="Verdana" w:hAnsi="Verdana" w:cs="Times New Roman"/>
                <w:sz w:val="20"/>
                <w:szCs w:val="20"/>
              </w:rPr>
              <w:t>г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арантирания портфейл преди края на </w:t>
            </w:r>
            <w:r w:rsidR="00367E51" w:rsidRPr="003A35E1">
              <w:rPr>
                <w:rFonts w:ascii="Verdana" w:hAnsi="Verdana" w:cs="Times New Roman"/>
                <w:sz w:val="20"/>
                <w:szCs w:val="20"/>
              </w:rPr>
              <w:t>с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рока за включване, НГФ може едностранно да преустанови включването на нови кредити в гарантирания портфейл</w:t>
            </w:r>
            <w:r w:rsidR="00745AF2" w:rsidRPr="003A35E1">
              <w:rPr>
                <w:rFonts w:ascii="Verdana" w:hAnsi="Verdana" w:cs="Times New Roman"/>
                <w:sz w:val="20"/>
                <w:szCs w:val="20"/>
              </w:rPr>
              <w:t xml:space="preserve"> след писмено уведомление до </w:t>
            </w:r>
            <w:r w:rsidR="00367E51" w:rsidRPr="003A35E1">
              <w:rPr>
                <w:rFonts w:ascii="Verdana" w:hAnsi="Verdana" w:cs="Times New Roman"/>
                <w:sz w:val="20"/>
                <w:szCs w:val="20"/>
              </w:rPr>
              <w:t>б</w:t>
            </w:r>
            <w:r w:rsidR="00745AF2" w:rsidRPr="003A35E1">
              <w:rPr>
                <w:rFonts w:ascii="Verdana" w:hAnsi="Verdana" w:cs="Times New Roman"/>
                <w:sz w:val="20"/>
                <w:szCs w:val="20"/>
              </w:rPr>
              <w:t>анката</w:t>
            </w:r>
            <w:r w:rsidR="00367E51" w:rsidRPr="003A35E1">
              <w:rPr>
                <w:rFonts w:ascii="Verdana" w:hAnsi="Verdana" w:cs="Times New Roman"/>
                <w:sz w:val="20"/>
                <w:szCs w:val="20"/>
              </w:rPr>
              <w:t>-партньор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B441BF" w:rsidRPr="003A35E1" w14:paraId="61535DBB" w14:textId="77777777" w:rsidTr="00A0283E">
        <w:trPr>
          <w:trHeight w:val="72"/>
        </w:trPr>
        <w:tc>
          <w:tcPr>
            <w:tcW w:w="2696" w:type="dxa"/>
          </w:tcPr>
          <w:p w14:paraId="37930391" w14:textId="77777777" w:rsidR="002B1878" w:rsidRPr="003A35E1" w:rsidRDefault="00F62240" w:rsidP="00DC46FB">
            <w:pPr>
              <w:spacing w:before="60" w:after="60"/>
              <w:ind w:right="33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Забрана за обременяване с тежести</w:t>
            </w:r>
          </w:p>
        </w:tc>
        <w:tc>
          <w:tcPr>
            <w:tcW w:w="7119" w:type="dxa"/>
          </w:tcPr>
          <w:p w14:paraId="1DFCA2D3" w14:textId="77777777" w:rsidR="0059424C" w:rsidRPr="003A35E1" w:rsidRDefault="00F62240" w:rsidP="00DC46FB">
            <w:pPr>
              <w:autoSpaceDE w:val="0"/>
              <w:autoSpaceDN w:val="0"/>
              <w:adjustRightInd w:val="0"/>
              <w:spacing w:before="60" w:after="60"/>
              <w:ind w:right="80"/>
              <w:jc w:val="both"/>
              <w:rPr>
                <w:rFonts w:ascii="Verdana" w:hAnsi="Verdana"/>
                <w:sz w:val="20"/>
                <w:szCs w:val="20"/>
              </w:rPr>
            </w:pPr>
            <w:r w:rsidRPr="003A35E1">
              <w:rPr>
                <w:rFonts w:ascii="Verdana" w:hAnsi="Verdana"/>
                <w:sz w:val="20"/>
                <w:szCs w:val="20"/>
              </w:rPr>
              <w:t>Банк</w:t>
            </w:r>
            <w:r w:rsidR="00D92B8C" w:rsidRPr="003A35E1">
              <w:rPr>
                <w:rFonts w:ascii="Verdana" w:hAnsi="Verdana"/>
                <w:sz w:val="20"/>
                <w:szCs w:val="20"/>
              </w:rPr>
              <w:t>ите-партньори</w:t>
            </w:r>
            <w:r w:rsidRPr="003A35E1">
              <w:rPr>
                <w:rFonts w:ascii="Verdana" w:hAnsi="Verdana"/>
                <w:sz w:val="20"/>
                <w:szCs w:val="20"/>
              </w:rPr>
              <w:t xml:space="preserve"> няма</w:t>
            </w:r>
            <w:r w:rsidR="00D92B8C" w:rsidRPr="003A35E1">
              <w:rPr>
                <w:rFonts w:ascii="Verdana" w:hAnsi="Verdana"/>
                <w:sz w:val="20"/>
                <w:szCs w:val="20"/>
              </w:rPr>
              <w:t>т</w:t>
            </w:r>
            <w:r w:rsidRPr="003A35E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200CE" w:rsidRPr="003A35E1">
              <w:rPr>
                <w:rFonts w:ascii="Verdana" w:hAnsi="Verdana"/>
                <w:sz w:val="20"/>
                <w:szCs w:val="20"/>
              </w:rPr>
              <w:t xml:space="preserve">право </w:t>
            </w:r>
            <w:r w:rsidRPr="003A35E1">
              <w:rPr>
                <w:rFonts w:ascii="Verdana" w:hAnsi="Verdana"/>
                <w:sz w:val="20"/>
                <w:szCs w:val="20"/>
              </w:rPr>
              <w:t>да обременява</w:t>
            </w:r>
            <w:r w:rsidR="00D92B8C" w:rsidRPr="003A35E1">
              <w:rPr>
                <w:rFonts w:ascii="Verdana" w:hAnsi="Verdana"/>
                <w:sz w:val="20"/>
                <w:szCs w:val="20"/>
              </w:rPr>
              <w:t>т</w:t>
            </w:r>
            <w:r w:rsidRPr="003A35E1">
              <w:rPr>
                <w:rFonts w:ascii="Verdana" w:hAnsi="Verdana"/>
                <w:sz w:val="20"/>
                <w:szCs w:val="20"/>
              </w:rPr>
              <w:t xml:space="preserve"> с тежести и с права в полза на трети лица предоставеното обезпечение по кредит</w:t>
            </w:r>
            <w:r w:rsidR="00D92B8C" w:rsidRPr="003A35E1">
              <w:rPr>
                <w:rFonts w:ascii="Verdana" w:hAnsi="Verdana"/>
                <w:sz w:val="20"/>
                <w:szCs w:val="20"/>
              </w:rPr>
              <w:t>и</w:t>
            </w:r>
            <w:r w:rsidRPr="003A35E1">
              <w:rPr>
                <w:rFonts w:ascii="Verdana" w:hAnsi="Verdana"/>
                <w:sz w:val="20"/>
                <w:szCs w:val="20"/>
              </w:rPr>
              <w:t>, включен</w:t>
            </w:r>
            <w:r w:rsidR="00D92B8C" w:rsidRPr="003A35E1">
              <w:rPr>
                <w:rFonts w:ascii="Verdana" w:hAnsi="Verdana"/>
                <w:sz w:val="20"/>
                <w:szCs w:val="20"/>
              </w:rPr>
              <w:t>и</w:t>
            </w:r>
            <w:r w:rsidRPr="003A35E1">
              <w:rPr>
                <w:rFonts w:ascii="Verdana" w:hAnsi="Verdana"/>
                <w:sz w:val="20"/>
                <w:szCs w:val="20"/>
              </w:rPr>
              <w:t xml:space="preserve"> в гарантирания портфейл, освен ако:</w:t>
            </w:r>
          </w:p>
          <w:p w14:paraId="7FFF47A0" w14:textId="77777777" w:rsidR="0059424C" w:rsidRPr="003A35E1" w:rsidRDefault="00F62240" w:rsidP="0027793B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color w:val="auto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Тази тежест изрично запазва правото на НГФ да се ползва (изцяло или частично, или по пътя на суброгацията или по друг законово установен начин) от правата на банката-партньор като кредитор по сделката, когато това е свързано с възстановяване на платени от НГФ суми по гаранцията</w:t>
            </w:r>
            <w:r w:rsidR="0027793B"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, и</w:t>
            </w:r>
          </w:p>
          <w:p w14:paraId="7F6BB032" w14:textId="77777777" w:rsidR="0059424C" w:rsidRPr="003A35E1" w:rsidRDefault="00F62240" w:rsidP="0027793B">
            <w:pPr>
              <w:pStyle w:val="Default"/>
              <w:numPr>
                <w:ilvl w:val="0"/>
                <w:numId w:val="12"/>
              </w:numPr>
              <w:spacing w:before="60" w:after="60" w:line="276" w:lineRule="auto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color w:val="auto"/>
                <w:sz w:val="20"/>
                <w:szCs w:val="20"/>
              </w:rPr>
              <w:t>Банката-партньор е признала изрично правото на НГФ по предходната точка в писмена форма.</w:t>
            </w:r>
          </w:p>
        </w:tc>
      </w:tr>
      <w:tr w:rsidR="00B441BF" w:rsidRPr="003A35E1" w14:paraId="356AC7BA" w14:textId="77777777" w:rsidTr="00A0283E">
        <w:trPr>
          <w:trHeight w:val="72"/>
        </w:trPr>
        <w:tc>
          <w:tcPr>
            <w:tcW w:w="2696" w:type="dxa"/>
          </w:tcPr>
          <w:p w14:paraId="563FBA9B" w14:textId="77777777" w:rsidR="002B1878" w:rsidRPr="003A35E1" w:rsidRDefault="00F62240" w:rsidP="00DC46FB">
            <w:pPr>
              <w:spacing w:before="60" w:after="60"/>
              <w:ind w:right="33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t>Отчетност</w:t>
            </w:r>
          </w:p>
        </w:tc>
        <w:tc>
          <w:tcPr>
            <w:tcW w:w="7119" w:type="dxa"/>
          </w:tcPr>
          <w:p w14:paraId="65E6A6D2" w14:textId="77777777" w:rsidR="0059424C" w:rsidRPr="003A35E1" w:rsidRDefault="00F62240" w:rsidP="00DC46FB">
            <w:pPr>
              <w:autoSpaceDE w:val="0"/>
              <w:autoSpaceDN w:val="0"/>
              <w:adjustRightInd w:val="0"/>
              <w:spacing w:before="60" w:after="60"/>
              <w:ind w:right="7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Банките-партньори предоставят на НГФ в рамките на </w:t>
            </w:r>
            <w:r w:rsidR="00FC1F36" w:rsidRPr="003A35E1">
              <w:rPr>
                <w:rFonts w:ascii="Verdana" w:hAnsi="Verdana" w:cs="Times New Roman"/>
                <w:sz w:val="20"/>
                <w:szCs w:val="20"/>
              </w:rPr>
              <w:t>тридесет</w:t>
            </w:r>
            <w:r w:rsidR="00226DFE"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745AF2" w:rsidRPr="003A35E1">
              <w:rPr>
                <w:rFonts w:ascii="Verdana" w:hAnsi="Verdana" w:cs="Times New Roman"/>
                <w:sz w:val="20"/>
                <w:szCs w:val="20"/>
              </w:rPr>
              <w:t xml:space="preserve">календарни </w:t>
            </w:r>
            <w:r w:rsidR="00226DFE" w:rsidRPr="003A35E1">
              <w:rPr>
                <w:rFonts w:ascii="Verdana" w:hAnsi="Verdana" w:cs="Times New Roman"/>
                <w:sz w:val="20"/>
                <w:szCs w:val="20"/>
              </w:rPr>
              <w:t>дни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след края на всяко календарно тримесечие („Отчетна дата”) тримесечен отчет в стандартизиран формат относно: бенефициентите; инвестицията; кредитите включени в гарантирания портфейл и др. („Тримесечен отчет”).</w:t>
            </w:r>
            <w:r w:rsidR="007F6B8B">
              <w:rPr>
                <w:rFonts w:ascii="Verdana" w:hAnsi="Verdana" w:cs="Times New Roman"/>
                <w:sz w:val="20"/>
                <w:szCs w:val="20"/>
              </w:rPr>
              <w:t xml:space="preserve"> Изпратеният Тримесечен отчет се счита за получен само, ако е изпратен във формата на конкретното приложение към гаранционното споразумение.</w:t>
            </w:r>
          </w:p>
          <w:p w14:paraId="5C9AB050" w14:textId="77777777" w:rsidR="00226DFE" w:rsidRPr="003A35E1" w:rsidRDefault="00226DFE" w:rsidP="00DC46FB">
            <w:pPr>
              <w:autoSpaceDE w:val="0"/>
              <w:autoSpaceDN w:val="0"/>
              <w:adjustRightInd w:val="0"/>
              <w:spacing w:before="60" w:after="60"/>
              <w:ind w:right="79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Ако Тримесечният отчет не бъде предост</w:t>
            </w:r>
            <w:r w:rsidR="0027793B" w:rsidRPr="003A35E1">
              <w:rPr>
                <w:rFonts w:ascii="Verdana" w:hAnsi="Verdana" w:cs="Times New Roman"/>
                <w:sz w:val="20"/>
                <w:szCs w:val="20"/>
              </w:rPr>
              <w:t>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вен в договорения срок,  банката-партньор</w:t>
            </w:r>
            <w:r w:rsidR="00D9301F" w:rsidRPr="003A35E1">
              <w:rPr>
                <w:rFonts w:ascii="Verdana" w:hAnsi="Verdana" w:cs="Times New Roman"/>
                <w:sz w:val="20"/>
                <w:szCs w:val="20"/>
              </w:rPr>
              <w:t xml:space="preserve"> дължи неустойка в размер на 1000 лв</w:t>
            </w:r>
            <w:r w:rsidR="00E60E23" w:rsidRPr="003A35E1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D9301F" w:rsidRPr="003A35E1">
              <w:rPr>
                <w:rFonts w:ascii="Verdana" w:hAnsi="Verdana" w:cs="Times New Roman"/>
                <w:sz w:val="20"/>
                <w:szCs w:val="20"/>
              </w:rPr>
              <w:t xml:space="preserve"> без ДДС,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дължимата за съответното тримесечие</w:t>
            </w:r>
            <w:r w:rsidR="007F6B8B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9301F" w:rsidRPr="003A35E1">
              <w:rPr>
                <w:rFonts w:ascii="Verdana" w:hAnsi="Verdana" w:cs="Times New Roman"/>
                <w:sz w:val="20"/>
                <w:szCs w:val="20"/>
              </w:rPr>
              <w:t>ведно с дължимите такси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. Ако тримесечният отчет не бъде предоставен до двадесет календарни дн</w:t>
            </w:r>
            <w:r w:rsidR="00D9301F" w:rsidRPr="003A35E1">
              <w:rPr>
                <w:rFonts w:ascii="Verdana" w:hAnsi="Verdana" w:cs="Times New Roman"/>
                <w:sz w:val="20"/>
                <w:szCs w:val="20"/>
              </w:rPr>
              <w:t xml:space="preserve">и от отчетната дата, </w:t>
            </w:r>
            <w:r w:rsidR="0027793B" w:rsidRPr="003A35E1">
              <w:rPr>
                <w:rFonts w:ascii="Verdana" w:hAnsi="Verdana" w:cs="Times New Roman"/>
                <w:sz w:val="20"/>
                <w:szCs w:val="20"/>
              </w:rPr>
              <w:t xml:space="preserve">Фондът има право да не включва в гарантирания портфейл </w:t>
            </w:r>
            <w:r w:rsidR="00D9301F" w:rsidRPr="003A35E1">
              <w:rPr>
                <w:rFonts w:ascii="Verdana" w:hAnsi="Verdana" w:cs="Times New Roman"/>
                <w:sz w:val="20"/>
                <w:szCs w:val="20"/>
              </w:rPr>
              <w:t xml:space="preserve">подадените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в </w:t>
            </w:r>
            <w:r w:rsidR="0027793B" w:rsidRPr="003A35E1">
              <w:rPr>
                <w:rFonts w:ascii="Verdana" w:hAnsi="Verdana" w:cs="Times New Roman"/>
                <w:sz w:val="20"/>
                <w:szCs w:val="20"/>
              </w:rPr>
              <w:t>отчета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кредити.</w:t>
            </w:r>
            <w:r w:rsidR="0042766D" w:rsidRPr="003A35E1">
              <w:rPr>
                <w:rFonts w:ascii="Verdana" w:hAnsi="Verdana" w:cs="Times New Roman"/>
                <w:sz w:val="20"/>
                <w:szCs w:val="20"/>
              </w:rPr>
              <w:t xml:space="preserve"> Банката</w:t>
            </w:r>
            <w:r w:rsidR="0027793B" w:rsidRPr="003A35E1">
              <w:rPr>
                <w:rFonts w:ascii="Verdana" w:hAnsi="Verdana" w:cs="Times New Roman"/>
                <w:sz w:val="20"/>
                <w:szCs w:val="20"/>
              </w:rPr>
              <w:t>-партньор</w:t>
            </w:r>
            <w:r w:rsidR="0042766D" w:rsidRPr="003A35E1">
              <w:rPr>
                <w:rFonts w:ascii="Verdana" w:hAnsi="Verdana" w:cs="Times New Roman"/>
                <w:sz w:val="20"/>
                <w:szCs w:val="20"/>
              </w:rPr>
              <w:t xml:space="preserve"> се задължава да отчита кредитите, включени в гарантирания портфейл коректно и съгласно вътрешните й правила, като при констатирани разминавания в посочените данни НГФ има право едностранно да изключва кредити с </w:t>
            </w:r>
            <w:r w:rsidR="00780A21" w:rsidRPr="003A35E1">
              <w:rPr>
                <w:rFonts w:ascii="Verdana" w:hAnsi="Verdana" w:cs="Times New Roman"/>
                <w:sz w:val="20"/>
                <w:szCs w:val="20"/>
              </w:rPr>
              <w:t>установени</w:t>
            </w:r>
            <w:r w:rsidR="0042766D" w:rsidRPr="003A35E1">
              <w:rPr>
                <w:rFonts w:ascii="Verdana" w:hAnsi="Verdana" w:cs="Times New Roman"/>
                <w:sz w:val="20"/>
                <w:szCs w:val="20"/>
              </w:rPr>
              <w:t xml:space="preserve"> несъответствия, включително и със задна дата като </w:t>
            </w:r>
            <w:r w:rsidR="0027793B" w:rsidRPr="003A35E1">
              <w:rPr>
                <w:rFonts w:ascii="Verdana" w:hAnsi="Verdana" w:cs="Times New Roman"/>
                <w:sz w:val="20"/>
                <w:szCs w:val="20"/>
              </w:rPr>
              <w:t>банката-партньор</w:t>
            </w:r>
            <w:r w:rsidR="0042766D" w:rsidRPr="003A35E1">
              <w:rPr>
                <w:rFonts w:ascii="Verdana" w:hAnsi="Verdana" w:cs="Times New Roman"/>
                <w:sz w:val="20"/>
                <w:szCs w:val="20"/>
              </w:rPr>
              <w:t xml:space="preserve"> дължи заплащане в реален размер на гаранционните такси до датата на изключване на кредита от гарантирания портфейл.</w:t>
            </w:r>
          </w:p>
        </w:tc>
      </w:tr>
      <w:tr w:rsidR="00B441BF" w:rsidRPr="003A35E1" w14:paraId="35540858" w14:textId="77777777" w:rsidTr="00A0283E">
        <w:trPr>
          <w:trHeight w:val="72"/>
        </w:trPr>
        <w:tc>
          <w:tcPr>
            <w:tcW w:w="2696" w:type="dxa"/>
          </w:tcPr>
          <w:p w14:paraId="5C7CFC2A" w14:textId="77777777" w:rsidR="008C22A9" w:rsidRPr="003A35E1" w:rsidRDefault="001B57D8" w:rsidP="00DC46FB">
            <w:pPr>
              <w:pStyle w:val="CommentText"/>
              <w:spacing w:before="60" w:after="60" w:line="276" w:lineRule="auto"/>
              <w:rPr>
                <w:rFonts w:ascii="Verdana" w:hAnsi="Verdana"/>
                <w:b/>
              </w:rPr>
            </w:pPr>
            <w:r w:rsidRPr="003A35E1">
              <w:rPr>
                <w:rFonts w:ascii="Verdana" w:eastAsiaTheme="minorHAnsi" w:hAnsi="Verdana"/>
                <w:b/>
                <w:lang w:val="bg-BG" w:eastAsia="en-US"/>
              </w:rPr>
              <w:t>Публичност</w:t>
            </w:r>
          </w:p>
        </w:tc>
        <w:tc>
          <w:tcPr>
            <w:tcW w:w="7119" w:type="dxa"/>
          </w:tcPr>
          <w:p w14:paraId="41E2D00B" w14:textId="77777777" w:rsidR="0059424C" w:rsidRPr="003A35E1" w:rsidRDefault="001B57D8" w:rsidP="00DC46FB">
            <w:pPr>
              <w:pStyle w:val="CommentText"/>
              <w:spacing w:before="60" w:after="60" w:line="276" w:lineRule="auto"/>
              <w:jc w:val="both"/>
              <w:rPr>
                <w:rFonts w:ascii="Verdana" w:eastAsiaTheme="minorHAnsi" w:hAnsi="Verdana"/>
                <w:lang w:val="bg-BG" w:eastAsia="en-US"/>
              </w:rPr>
            </w:pPr>
            <w:r w:rsidRPr="003A35E1">
              <w:rPr>
                <w:rFonts w:ascii="Verdana" w:eastAsiaTheme="minorHAnsi" w:hAnsi="Verdana"/>
                <w:lang w:val="bg-BG" w:eastAsia="en-US"/>
              </w:rPr>
              <w:t xml:space="preserve">Банките-партньори се задължават да включат в рекламните си материали за микро, малки и средни предприятия информация относно възможностите за гарантиране на кредити от НГФ, като </w:t>
            </w:r>
            <w:r w:rsidRPr="003A35E1">
              <w:rPr>
                <w:rFonts w:ascii="Verdana" w:eastAsiaTheme="minorHAnsi" w:hAnsi="Verdana"/>
                <w:lang w:val="bg-BG" w:eastAsia="en-US"/>
              </w:rPr>
              <w:lastRenderedPageBreak/>
              <w:t xml:space="preserve">навсякъде посочва принадлежността на </w:t>
            </w:r>
            <w:r w:rsidR="00D92B8C" w:rsidRPr="003A35E1">
              <w:rPr>
                <w:rFonts w:ascii="Verdana" w:eastAsiaTheme="minorHAnsi" w:hAnsi="Verdana"/>
                <w:lang w:val="bg-BG" w:eastAsia="en-US"/>
              </w:rPr>
              <w:t>Ф</w:t>
            </w:r>
            <w:r w:rsidRPr="003A35E1">
              <w:rPr>
                <w:rFonts w:ascii="Verdana" w:eastAsiaTheme="minorHAnsi" w:hAnsi="Verdana"/>
                <w:lang w:val="bg-BG" w:eastAsia="en-US"/>
              </w:rPr>
              <w:t>онда към групата на Българската банка за развитие.</w:t>
            </w:r>
          </w:p>
        </w:tc>
      </w:tr>
      <w:tr w:rsidR="00B441BF" w:rsidRPr="003A35E1" w14:paraId="58C36694" w14:textId="77777777" w:rsidTr="00A0283E">
        <w:trPr>
          <w:trHeight w:val="72"/>
        </w:trPr>
        <w:tc>
          <w:tcPr>
            <w:tcW w:w="2696" w:type="dxa"/>
          </w:tcPr>
          <w:p w14:paraId="73D0E358" w14:textId="77777777" w:rsidR="00226E50" w:rsidRPr="003A35E1" w:rsidRDefault="00F62240" w:rsidP="00DC46FB">
            <w:pPr>
              <w:spacing w:before="60" w:after="60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>Мониторинг и одит</w:t>
            </w:r>
          </w:p>
        </w:tc>
        <w:tc>
          <w:tcPr>
            <w:tcW w:w="7119" w:type="dxa"/>
          </w:tcPr>
          <w:p w14:paraId="2FAE9CD5" w14:textId="77777777" w:rsidR="0059424C" w:rsidRPr="003A35E1" w:rsidRDefault="00F62240" w:rsidP="00DC46F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sz w:val="20"/>
                <w:szCs w:val="20"/>
              </w:rPr>
              <w:t>Банките-партньори се задължават да допуска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>т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на място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служители на НГФ</w:t>
            </w:r>
            <w:r w:rsidR="008C6C85">
              <w:rPr>
                <w:rFonts w:ascii="Verdana" w:hAnsi="Verdana" w:cs="Times New Roman"/>
                <w:sz w:val="20"/>
                <w:szCs w:val="20"/>
              </w:rPr>
              <w:t xml:space="preserve"> или</w:t>
            </w:r>
            <w:bookmarkStart w:id="0" w:name="_GoBack"/>
            <w:bookmarkEnd w:id="0"/>
            <w:r w:rsidR="008C6C85">
              <w:rPr>
                <w:rFonts w:ascii="Verdana" w:hAnsi="Verdana" w:cs="Times New Roman"/>
                <w:sz w:val="20"/>
                <w:szCs w:val="20"/>
              </w:rPr>
              <w:t xml:space="preserve"> овластени от него лица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 за проверка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на определени документи, свързани с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включени в гарантирания портфейл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 кредити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, включително 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кредитни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досиета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 и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>други по преценка на служителите на Фонда. З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а целта 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 xml:space="preserve">банките-партньори 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>включ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>ват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в съответните договори за кредит клауза, която </w:t>
            </w:r>
            <w:r w:rsidR="00D92B8C" w:rsidRPr="003A35E1">
              <w:rPr>
                <w:rFonts w:ascii="Verdana" w:hAnsi="Verdana" w:cs="Times New Roman"/>
                <w:sz w:val="20"/>
                <w:szCs w:val="20"/>
              </w:rPr>
              <w:t>регламентира</w:t>
            </w:r>
            <w:r w:rsidRPr="003A35E1">
              <w:rPr>
                <w:rFonts w:ascii="Verdana" w:hAnsi="Verdana" w:cs="Times New Roman"/>
                <w:sz w:val="20"/>
                <w:szCs w:val="20"/>
              </w:rPr>
              <w:t xml:space="preserve"> такива проверки.</w:t>
            </w:r>
          </w:p>
        </w:tc>
      </w:tr>
      <w:tr w:rsidR="00B441BF" w:rsidRPr="003A35E1" w14:paraId="5F45B4E6" w14:textId="77777777" w:rsidTr="00A0283E">
        <w:trPr>
          <w:trHeight w:val="72"/>
        </w:trPr>
        <w:tc>
          <w:tcPr>
            <w:tcW w:w="2696" w:type="dxa"/>
          </w:tcPr>
          <w:p w14:paraId="5B431561" w14:textId="77777777" w:rsidR="002B1878" w:rsidRPr="003A35E1" w:rsidRDefault="00F62240" w:rsidP="00DC46FB">
            <w:pPr>
              <w:spacing w:before="60" w:after="60"/>
              <w:ind w:right="24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sz w:val="20"/>
                <w:szCs w:val="20"/>
              </w:rPr>
              <w:t>Прехвърляне на права</w:t>
            </w:r>
          </w:p>
        </w:tc>
        <w:tc>
          <w:tcPr>
            <w:tcW w:w="7119" w:type="dxa"/>
          </w:tcPr>
          <w:p w14:paraId="37980D5F" w14:textId="77777777" w:rsidR="0059424C" w:rsidRPr="003A35E1" w:rsidRDefault="001B57D8" w:rsidP="00DC46FB">
            <w:pPr>
              <w:pStyle w:val="CommentText"/>
              <w:spacing w:before="60" w:after="60" w:line="276" w:lineRule="auto"/>
              <w:jc w:val="both"/>
              <w:rPr>
                <w:rFonts w:ascii="Verdana" w:hAnsi="Verdana"/>
                <w:lang w:val="bg-BG"/>
              </w:rPr>
            </w:pPr>
            <w:r w:rsidRPr="003A35E1">
              <w:rPr>
                <w:rFonts w:ascii="Verdana" w:hAnsi="Verdana"/>
                <w:lang w:val="bg-BG"/>
              </w:rPr>
              <w:t>Банк</w:t>
            </w:r>
            <w:r w:rsidR="00987667" w:rsidRPr="003A35E1">
              <w:rPr>
                <w:rFonts w:ascii="Verdana" w:hAnsi="Verdana"/>
                <w:lang w:val="bg-BG"/>
              </w:rPr>
              <w:t>ите</w:t>
            </w:r>
            <w:r w:rsidRPr="003A35E1">
              <w:rPr>
                <w:rFonts w:ascii="Verdana" w:hAnsi="Verdana"/>
                <w:lang w:val="bg-BG"/>
              </w:rPr>
              <w:t>-партньор</w:t>
            </w:r>
            <w:r w:rsidR="00987667" w:rsidRPr="003A35E1">
              <w:rPr>
                <w:rFonts w:ascii="Verdana" w:hAnsi="Verdana"/>
                <w:lang w:val="bg-BG"/>
              </w:rPr>
              <w:t>и</w:t>
            </w:r>
            <w:r w:rsidRPr="003A35E1">
              <w:rPr>
                <w:rFonts w:ascii="Verdana" w:hAnsi="Verdana"/>
                <w:lang w:val="bg-BG"/>
              </w:rPr>
              <w:t xml:space="preserve"> </w:t>
            </w:r>
            <w:r w:rsidR="00987667" w:rsidRPr="003A35E1">
              <w:rPr>
                <w:rFonts w:ascii="Verdana" w:hAnsi="Verdana"/>
                <w:lang w:val="bg-BG"/>
              </w:rPr>
              <w:t>се задължават да</w:t>
            </w:r>
            <w:r w:rsidRPr="003A35E1">
              <w:rPr>
                <w:rFonts w:ascii="Verdana" w:hAnsi="Verdana"/>
                <w:lang w:val="bg-BG"/>
              </w:rPr>
              <w:t xml:space="preserve"> </w:t>
            </w:r>
            <w:r w:rsidR="00987667" w:rsidRPr="003A35E1">
              <w:rPr>
                <w:rFonts w:ascii="Verdana" w:hAnsi="Verdana"/>
                <w:lang w:val="bg-BG"/>
              </w:rPr>
              <w:t>не</w:t>
            </w:r>
            <w:r w:rsidRPr="003A35E1">
              <w:rPr>
                <w:rFonts w:ascii="Verdana" w:hAnsi="Verdana"/>
                <w:lang w:val="bg-BG"/>
              </w:rPr>
              <w:t xml:space="preserve"> прехвърля</w:t>
            </w:r>
            <w:r w:rsidR="00987667" w:rsidRPr="003A35E1">
              <w:rPr>
                <w:rFonts w:ascii="Verdana" w:hAnsi="Verdana"/>
                <w:lang w:val="bg-BG"/>
              </w:rPr>
              <w:t>т</w:t>
            </w:r>
            <w:r w:rsidRPr="003A35E1">
              <w:rPr>
                <w:rFonts w:ascii="Verdana" w:hAnsi="Verdana"/>
                <w:lang w:val="bg-BG"/>
              </w:rPr>
              <w:t xml:space="preserve"> свои права или задължения, произтичащи от гаранционното споразумение, на трети лица </w:t>
            </w:r>
            <w:r w:rsidR="00F62240" w:rsidRPr="003A35E1">
              <w:rPr>
                <w:rFonts w:ascii="Verdana" w:hAnsi="Verdana"/>
                <w:lang w:val="bg-BG"/>
              </w:rPr>
              <w:t>освен с изрично предварително писмено съгласие на НГФ.</w:t>
            </w:r>
          </w:p>
        </w:tc>
      </w:tr>
      <w:tr w:rsidR="00B441BF" w:rsidRPr="003A35E1" w14:paraId="4F7C00C8" w14:textId="77777777" w:rsidTr="00A0283E">
        <w:trPr>
          <w:trHeight w:val="72"/>
        </w:trPr>
        <w:tc>
          <w:tcPr>
            <w:tcW w:w="2696" w:type="dxa"/>
          </w:tcPr>
          <w:p w14:paraId="1039CF06" w14:textId="77777777" w:rsidR="002B1878" w:rsidRPr="003A35E1" w:rsidRDefault="00F62240" w:rsidP="00DC46FB">
            <w:pPr>
              <w:spacing w:before="60" w:after="60"/>
              <w:ind w:right="24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5E1">
              <w:rPr>
                <w:rFonts w:ascii="Verdana" w:hAnsi="Verdana" w:cs="Times New Roman"/>
                <w:b/>
                <w:sz w:val="20"/>
                <w:szCs w:val="20"/>
              </w:rPr>
              <w:t>Език</w:t>
            </w:r>
          </w:p>
        </w:tc>
        <w:tc>
          <w:tcPr>
            <w:tcW w:w="7119" w:type="dxa"/>
          </w:tcPr>
          <w:p w14:paraId="14C7C923" w14:textId="77777777" w:rsidR="00BB1D77" w:rsidRPr="003A35E1" w:rsidRDefault="001B57D8" w:rsidP="00DC46FB">
            <w:pPr>
              <w:pStyle w:val="CommentText"/>
              <w:spacing w:before="60" w:after="60" w:line="276" w:lineRule="auto"/>
              <w:jc w:val="both"/>
              <w:rPr>
                <w:rFonts w:ascii="Verdana" w:hAnsi="Verdana"/>
                <w:lang w:val="bg-BG"/>
              </w:rPr>
            </w:pPr>
            <w:r w:rsidRPr="003A35E1">
              <w:rPr>
                <w:rFonts w:ascii="Verdana" w:hAnsi="Verdana"/>
                <w:lang w:val="bg-BG"/>
              </w:rPr>
              <w:t>Всички документи, информация и данни по гаранционното споразумение ще се предоставят на български език. Документи, представени на чужд език ще се приемат само за сведение.</w:t>
            </w:r>
          </w:p>
        </w:tc>
      </w:tr>
    </w:tbl>
    <w:p w14:paraId="6336D3EB" w14:textId="77777777" w:rsidR="00DF2868" w:rsidRPr="003A35E1" w:rsidRDefault="00DF2868" w:rsidP="007E4FAE">
      <w:pPr>
        <w:spacing w:after="0"/>
        <w:rPr>
          <w:rFonts w:ascii="Verdana" w:hAnsi="Verdana"/>
          <w:sz w:val="20"/>
          <w:szCs w:val="20"/>
        </w:rPr>
      </w:pPr>
    </w:p>
    <w:p w14:paraId="496CC15A" w14:textId="77777777" w:rsidR="00DC2852" w:rsidRPr="003A35E1" w:rsidRDefault="00DC2852" w:rsidP="007E4FAE">
      <w:pPr>
        <w:spacing w:after="0"/>
        <w:rPr>
          <w:sz w:val="20"/>
          <w:szCs w:val="20"/>
        </w:rPr>
      </w:pPr>
    </w:p>
    <w:p w14:paraId="6C427182" w14:textId="77777777" w:rsidR="00DC2852" w:rsidRPr="003A35E1" w:rsidRDefault="00E97C4B" w:rsidP="007E4FAE">
      <w:pPr>
        <w:spacing w:after="0"/>
        <w:rPr>
          <w:sz w:val="20"/>
          <w:szCs w:val="20"/>
        </w:rPr>
      </w:pPr>
      <w:r w:rsidRPr="003A35E1">
        <w:rPr>
          <w:sz w:val="20"/>
          <w:szCs w:val="20"/>
        </w:rPr>
        <w:t xml:space="preserve"> </w:t>
      </w:r>
    </w:p>
    <w:sectPr w:rsidR="00DC2852" w:rsidRPr="003A35E1" w:rsidSect="00A115C6">
      <w:headerReference w:type="default" r:id="rId9"/>
      <w:footerReference w:type="default" r:id="rId10"/>
      <w:pgSz w:w="11906" w:h="16838"/>
      <w:pgMar w:top="1584" w:right="1440" w:bottom="1008" w:left="864" w:header="288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21DA58" w15:done="0"/>
  <w15:commentEx w15:paraId="2DC21D3D" w15:done="0"/>
  <w15:commentEx w15:paraId="2507A99E" w15:paraIdParent="2DC21D3D" w15:done="0"/>
  <w15:commentEx w15:paraId="0AE87AA4" w15:done="0"/>
  <w15:commentEx w15:paraId="13B5A066" w15:done="0"/>
  <w15:commentEx w15:paraId="17FECC08" w15:paraIdParent="13B5A066" w15:done="0"/>
  <w15:commentEx w15:paraId="39D73316" w15:done="0"/>
  <w15:commentEx w15:paraId="0FCF9827" w15:done="0"/>
  <w15:commentEx w15:paraId="2A0CDCBF" w15:done="0"/>
  <w15:commentEx w15:paraId="4A7D574A" w15:done="0"/>
  <w15:commentEx w15:paraId="458A8BCC" w15:done="0"/>
  <w15:commentEx w15:paraId="6F21E9BF" w15:done="0"/>
  <w15:commentEx w15:paraId="03114006" w15:done="0"/>
  <w15:commentEx w15:paraId="3C7A3C90" w15:paraIdParent="03114006" w15:done="0"/>
  <w15:commentEx w15:paraId="47D1CE91" w15:done="0"/>
  <w15:commentEx w15:paraId="56EE66D8" w15:done="0"/>
  <w15:commentEx w15:paraId="3ED73C6B" w15:paraIdParent="56EE66D8" w15:done="0"/>
  <w15:commentEx w15:paraId="12EC58F8" w15:done="0"/>
  <w15:commentEx w15:paraId="101DD62C" w15:done="0"/>
  <w15:commentEx w15:paraId="63AE12AD" w15:done="0"/>
  <w15:commentEx w15:paraId="280F55A2" w15:done="0"/>
  <w15:commentEx w15:paraId="6F54F912" w15:done="0"/>
  <w15:commentEx w15:paraId="29E423D9" w15:done="0"/>
  <w15:commentEx w15:paraId="303FFC7F" w15:done="0"/>
  <w15:commentEx w15:paraId="21C6649D" w15:done="0"/>
  <w15:commentEx w15:paraId="530E91A8" w15:done="0"/>
  <w15:commentEx w15:paraId="77B4C936" w15:paraIdParent="530E91A8" w15:done="0"/>
  <w15:commentEx w15:paraId="70F6C3D4" w15:done="0"/>
  <w15:commentEx w15:paraId="45C38823" w15:done="0"/>
  <w15:commentEx w15:paraId="0A54EF6D" w15:paraIdParent="45C388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6BE5" w16cex:dateUtc="2022-03-16T11:54:00Z"/>
  <w16cex:commentExtensible w16cex:durableId="25DC6BE6" w16cex:dateUtc="2022-03-16T11:54:00Z"/>
  <w16cex:commentExtensible w16cex:durableId="25DC6BFD" w16cex:dateUtc="2022-03-16T12:00:00Z"/>
  <w16cex:commentExtensible w16cex:durableId="25DC6BE7" w16cex:dateUtc="2022-03-16T11:54:00Z"/>
  <w16cex:commentExtensible w16cex:durableId="25DC6BE8" w16cex:dateUtc="2022-03-16T11:54:00Z"/>
  <w16cex:commentExtensible w16cex:durableId="25DC6C61" w16cex:dateUtc="2022-03-16T12:02:00Z"/>
  <w16cex:commentExtensible w16cex:durableId="25DC6BE9" w16cex:dateUtc="2022-03-16T11:54:00Z"/>
  <w16cex:commentExtensible w16cex:durableId="25DC6BEA" w16cex:dateUtc="2022-03-16T11:54:00Z"/>
  <w16cex:commentExtensible w16cex:durableId="25DC6BEB" w16cex:dateUtc="2022-03-16T11:54:00Z"/>
  <w16cex:commentExtensible w16cex:durableId="25DC6BEC" w16cex:dateUtc="2022-03-16T11:54:00Z"/>
  <w16cex:commentExtensible w16cex:durableId="25DC6BED" w16cex:dateUtc="2022-03-16T11:54:00Z"/>
  <w16cex:commentExtensible w16cex:durableId="25DC6BEE" w16cex:dateUtc="2022-03-16T11:54:00Z"/>
  <w16cex:commentExtensible w16cex:durableId="25DC6BEF" w16cex:dateUtc="2022-03-16T11:54:00Z"/>
  <w16cex:commentExtensible w16cex:durableId="25DC6CC7" w16cex:dateUtc="2022-03-16T12:03:00Z"/>
  <w16cex:commentExtensible w16cex:durableId="25DC6BF0" w16cex:dateUtc="2022-03-16T11:54:00Z"/>
  <w16cex:commentExtensible w16cex:durableId="25DC6BF1" w16cex:dateUtc="2022-03-16T11:54:00Z"/>
  <w16cex:commentExtensible w16cex:durableId="25DC6CD4" w16cex:dateUtc="2022-03-16T12:04:00Z"/>
  <w16cex:commentExtensible w16cex:durableId="25DC6BF2" w16cex:dateUtc="2022-03-16T11:54:00Z"/>
  <w16cex:commentExtensible w16cex:durableId="25DC6BF3" w16cex:dateUtc="2022-03-16T11:54:00Z"/>
  <w16cex:commentExtensible w16cex:durableId="25DC6BF4" w16cex:dateUtc="2022-03-16T11:54:00Z"/>
  <w16cex:commentExtensible w16cex:durableId="25DC6BF5" w16cex:dateUtc="2022-03-16T11:54:00Z"/>
  <w16cex:commentExtensible w16cex:durableId="25DC6BF6" w16cex:dateUtc="2022-03-16T11:54:00Z"/>
  <w16cex:commentExtensible w16cex:durableId="25DC6BF7" w16cex:dateUtc="2022-03-16T11:54:00Z"/>
  <w16cex:commentExtensible w16cex:durableId="25DC6BF8" w16cex:dateUtc="2022-03-16T11:54:00Z"/>
  <w16cex:commentExtensible w16cex:durableId="25DC6BF9" w16cex:dateUtc="2022-03-16T11:54:00Z"/>
  <w16cex:commentExtensible w16cex:durableId="25DC6BFA" w16cex:dateUtc="2022-03-16T11:54:00Z"/>
  <w16cex:commentExtensible w16cex:durableId="25DC6D01" w16cex:dateUtc="2022-03-16T12:04:00Z"/>
  <w16cex:commentExtensible w16cex:durableId="25DC6BFB" w16cex:dateUtc="2022-03-16T11:54:00Z"/>
  <w16cex:commentExtensible w16cex:durableId="25DC6BFC" w16cex:dateUtc="2022-03-16T11:54:00Z"/>
  <w16cex:commentExtensible w16cex:durableId="25DC6D3F" w16cex:dateUtc="2022-03-16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21DA58" w16cid:durableId="25DC6BE5"/>
  <w16cid:commentId w16cid:paraId="2DC21D3D" w16cid:durableId="25DC6BE6"/>
  <w16cid:commentId w16cid:paraId="2507A99E" w16cid:durableId="25DC6BFD"/>
  <w16cid:commentId w16cid:paraId="0AE87AA4" w16cid:durableId="25DC6BE7"/>
  <w16cid:commentId w16cid:paraId="13B5A066" w16cid:durableId="25DC6BE8"/>
  <w16cid:commentId w16cid:paraId="17FECC08" w16cid:durableId="25DC6C61"/>
  <w16cid:commentId w16cid:paraId="39D73316" w16cid:durableId="25DC6BE9"/>
  <w16cid:commentId w16cid:paraId="0FCF9827" w16cid:durableId="25DC6BEA"/>
  <w16cid:commentId w16cid:paraId="2A0CDCBF" w16cid:durableId="25DC6BEB"/>
  <w16cid:commentId w16cid:paraId="4A7D574A" w16cid:durableId="25DC6BEC"/>
  <w16cid:commentId w16cid:paraId="458A8BCC" w16cid:durableId="25DC6BED"/>
  <w16cid:commentId w16cid:paraId="6F21E9BF" w16cid:durableId="25DC6BEE"/>
  <w16cid:commentId w16cid:paraId="03114006" w16cid:durableId="25DC6BEF"/>
  <w16cid:commentId w16cid:paraId="3C7A3C90" w16cid:durableId="25DC6CC7"/>
  <w16cid:commentId w16cid:paraId="47D1CE91" w16cid:durableId="25DC6BF0"/>
  <w16cid:commentId w16cid:paraId="56EE66D8" w16cid:durableId="25DC6BF1"/>
  <w16cid:commentId w16cid:paraId="3ED73C6B" w16cid:durableId="25DC6CD4"/>
  <w16cid:commentId w16cid:paraId="12EC58F8" w16cid:durableId="25DC6BF2"/>
  <w16cid:commentId w16cid:paraId="101DD62C" w16cid:durableId="25DC6BF3"/>
  <w16cid:commentId w16cid:paraId="63AE12AD" w16cid:durableId="25DC6BF4"/>
  <w16cid:commentId w16cid:paraId="280F55A2" w16cid:durableId="25DC6BF5"/>
  <w16cid:commentId w16cid:paraId="6F54F912" w16cid:durableId="25DC6BF6"/>
  <w16cid:commentId w16cid:paraId="29E423D9" w16cid:durableId="25DC6BF7"/>
  <w16cid:commentId w16cid:paraId="303FFC7F" w16cid:durableId="25DC6BF8"/>
  <w16cid:commentId w16cid:paraId="21C6649D" w16cid:durableId="25DC6BF9"/>
  <w16cid:commentId w16cid:paraId="530E91A8" w16cid:durableId="25DC6BFA"/>
  <w16cid:commentId w16cid:paraId="77B4C936" w16cid:durableId="25DC6D01"/>
  <w16cid:commentId w16cid:paraId="70F6C3D4" w16cid:durableId="25DC6BFB"/>
  <w16cid:commentId w16cid:paraId="45C38823" w16cid:durableId="25DC6BFC"/>
  <w16cid:commentId w16cid:paraId="0A54EF6D" w16cid:durableId="25DC6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DB39F" w14:textId="77777777" w:rsidR="000855C3" w:rsidRPr="008D1275" w:rsidRDefault="000855C3" w:rsidP="008D1275">
      <w:pPr>
        <w:spacing w:after="0" w:line="240" w:lineRule="auto"/>
      </w:pPr>
      <w:r>
        <w:separator/>
      </w:r>
    </w:p>
  </w:endnote>
  <w:endnote w:type="continuationSeparator" w:id="0">
    <w:p w14:paraId="3AB52222" w14:textId="77777777" w:rsidR="000855C3" w:rsidRPr="008D1275" w:rsidRDefault="000855C3" w:rsidP="008D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09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436244" w14:textId="77777777" w:rsidR="005B5362" w:rsidRDefault="005B5362" w:rsidP="007E4FAE">
        <w:pPr>
          <w:pStyle w:val="Footer"/>
          <w:jc w:val="right"/>
        </w:pPr>
        <w:r w:rsidRPr="008D1275">
          <w:rPr>
            <w:rFonts w:ascii="Times New Roman" w:hAnsi="Times New Roman" w:cs="Times New Roman"/>
          </w:rPr>
          <w:fldChar w:fldCharType="begin"/>
        </w:r>
        <w:r w:rsidRPr="008D1275">
          <w:rPr>
            <w:rFonts w:ascii="Times New Roman" w:hAnsi="Times New Roman" w:cs="Times New Roman"/>
          </w:rPr>
          <w:instrText xml:space="preserve"> PAGE   \* MERGEFORMAT </w:instrText>
        </w:r>
        <w:r w:rsidRPr="008D1275">
          <w:rPr>
            <w:rFonts w:ascii="Times New Roman" w:hAnsi="Times New Roman" w:cs="Times New Roman"/>
          </w:rPr>
          <w:fldChar w:fldCharType="separate"/>
        </w:r>
        <w:r w:rsidR="00E5682F">
          <w:rPr>
            <w:rFonts w:ascii="Times New Roman" w:hAnsi="Times New Roman" w:cs="Times New Roman"/>
            <w:noProof/>
          </w:rPr>
          <w:t>1</w:t>
        </w:r>
        <w:r w:rsidRPr="008D12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F5B35" w14:textId="77777777" w:rsidR="000855C3" w:rsidRPr="008D1275" w:rsidRDefault="000855C3" w:rsidP="008D1275">
      <w:pPr>
        <w:spacing w:after="0" w:line="240" w:lineRule="auto"/>
      </w:pPr>
      <w:r>
        <w:separator/>
      </w:r>
    </w:p>
  </w:footnote>
  <w:footnote w:type="continuationSeparator" w:id="0">
    <w:p w14:paraId="2C079009" w14:textId="77777777" w:rsidR="000855C3" w:rsidRPr="008D1275" w:rsidRDefault="000855C3" w:rsidP="008D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E6CD" w14:textId="77777777" w:rsidR="000F3E37" w:rsidRDefault="000F3E37" w:rsidP="00F77BC5">
    <w:pPr>
      <w:pStyle w:val="Header"/>
      <w:pBdr>
        <w:bottom w:val="single" w:sz="12" w:space="1" w:color="31849B" w:themeColor="accent5" w:themeShade="BF"/>
      </w:pBdr>
      <w:tabs>
        <w:tab w:val="clear" w:pos="4536"/>
      </w:tabs>
    </w:pPr>
    <w:r w:rsidRPr="00C50441">
      <w:rPr>
        <w:rFonts w:ascii="Arial" w:hAnsi="Arial" w:cs="Arial"/>
        <w:b/>
        <w:noProof/>
        <w:color w:val="170C58"/>
        <w:sz w:val="18"/>
        <w:szCs w:val="18"/>
        <w:lang w:val="en-US"/>
      </w:rPr>
      <w:drawing>
        <wp:inline distT="0" distB="0" distL="0" distR="0" wp14:anchorId="1C2B4CB0" wp14:editId="4429B48C">
          <wp:extent cx="1828800" cy="619125"/>
          <wp:effectExtent l="0" t="0" r="0" b="9525"/>
          <wp:docPr id="4" name="Picture 4" descr="Logos NGF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NGF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BF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i/>
      </w:rPr>
    </w:lvl>
  </w:abstractNum>
  <w:abstractNum w:abstractNumId="1">
    <w:nsid w:val="0B155B30"/>
    <w:multiLevelType w:val="hybridMultilevel"/>
    <w:tmpl w:val="F33E369C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7">
      <w:start w:val="1"/>
      <w:numFmt w:val="lowerLetter"/>
      <w:lvlText w:val="%2)"/>
      <w:lvlJc w:val="left"/>
      <w:pPr>
        <w:ind w:left="927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B57"/>
    <w:multiLevelType w:val="hybridMultilevel"/>
    <w:tmpl w:val="7E7486C2"/>
    <w:lvl w:ilvl="0" w:tplc="61F2EB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1F5E"/>
    <w:multiLevelType w:val="hybridMultilevel"/>
    <w:tmpl w:val="63D2FB5C"/>
    <w:lvl w:ilvl="0" w:tplc="59FA204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2B0039"/>
    <w:multiLevelType w:val="hybridMultilevel"/>
    <w:tmpl w:val="67A48006"/>
    <w:lvl w:ilvl="0" w:tplc="785E1D0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B056B"/>
    <w:multiLevelType w:val="hybridMultilevel"/>
    <w:tmpl w:val="2B6E8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275F"/>
    <w:multiLevelType w:val="hybridMultilevel"/>
    <w:tmpl w:val="3B3CFD92"/>
    <w:lvl w:ilvl="0" w:tplc="3B6645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C3AF5"/>
    <w:multiLevelType w:val="hybridMultilevel"/>
    <w:tmpl w:val="BE8EFDD4"/>
    <w:lvl w:ilvl="0" w:tplc="141CB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33022"/>
    <w:multiLevelType w:val="hybridMultilevel"/>
    <w:tmpl w:val="840AE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B20A2"/>
    <w:multiLevelType w:val="hybridMultilevel"/>
    <w:tmpl w:val="7E7486C2"/>
    <w:lvl w:ilvl="0" w:tplc="61F2EB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B24CC"/>
    <w:multiLevelType w:val="hybridMultilevel"/>
    <w:tmpl w:val="0354EF0C"/>
    <w:lvl w:ilvl="0" w:tplc="D346AB80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B08C8"/>
    <w:multiLevelType w:val="hybridMultilevel"/>
    <w:tmpl w:val="F33E369C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7">
      <w:start w:val="1"/>
      <w:numFmt w:val="lowerLetter"/>
      <w:lvlText w:val="%2)"/>
      <w:lvlJc w:val="left"/>
      <w:pPr>
        <w:ind w:left="927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C192C"/>
    <w:multiLevelType w:val="hybridMultilevel"/>
    <w:tmpl w:val="6D04D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826AD"/>
    <w:multiLevelType w:val="hybridMultilevel"/>
    <w:tmpl w:val="A5AA110E"/>
    <w:lvl w:ilvl="0" w:tplc="EA429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D5D92"/>
    <w:multiLevelType w:val="hybridMultilevel"/>
    <w:tmpl w:val="E5242220"/>
    <w:lvl w:ilvl="0" w:tplc="7138D3F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AF0931"/>
    <w:multiLevelType w:val="hybridMultilevel"/>
    <w:tmpl w:val="70C0E2FC"/>
    <w:lvl w:ilvl="0" w:tplc="A210AD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F0CCA"/>
    <w:multiLevelType w:val="hybridMultilevel"/>
    <w:tmpl w:val="9F680450"/>
    <w:lvl w:ilvl="0" w:tplc="04020011">
      <w:start w:val="1"/>
      <w:numFmt w:val="decimal"/>
      <w:lvlText w:val="%1)"/>
      <w:lvlJc w:val="left"/>
      <w:pPr>
        <w:ind w:left="754" w:hanging="360"/>
      </w:pPr>
    </w:lvl>
    <w:lvl w:ilvl="1" w:tplc="04020019" w:tentative="1">
      <w:start w:val="1"/>
      <w:numFmt w:val="lowerLetter"/>
      <w:lvlText w:val="%2."/>
      <w:lvlJc w:val="left"/>
      <w:pPr>
        <w:ind w:left="1474" w:hanging="360"/>
      </w:pPr>
    </w:lvl>
    <w:lvl w:ilvl="2" w:tplc="0402001B" w:tentative="1">
      <w:start w:val="1"/>
      <w:numFmt w:val="lowerRoman"/>
      <w:lvlText w:val="%3."/>
      <w:lvlJc w:val="right"/>
      <w:pPr>
        <w:ind w:left="2194" w:hanging="180"/>
      </w:pPr>
    </w:lvl>
    <w:lvl w:ilvl="3" w:tplc="0402000F" w:tentative="1">
      <w:start w:val="1"/>
      <w:numFmt w:val="decimal"/>
      <w:lvlText w:val="%4."/>
      <w:lvlJc w:val="left"/>
      <w:pPr>
        <w:ind w:left="2914" w:hanging="360"/>
      </w:pPr>
    </w:lvl>
    <w:lvl w:ilvl="4" w:tplc="04020019" w:tentative="1">
      <w:start w:val="1"/>
      <w:numFmt w:val="lowerLetter"/>
      <w:lvlText w:val="%5."/>
      <w:lvlJc w:val="left"/>
      <w:pPr>
        <w:ind w:left="3634" w:hanging="360"/>
      </w:pPr>
    </w:lvl>
    <w:lvl w:ilvl="5" w:tplc="0402001B" w:tentative="1">
      <w:start w:val="1"/>
      <w:numFmt w:val="lowerRoman"/>
      <w:lvlText w:val="%6."/>
      <w:lvlJc w:val="right"/>
      <w:pPr>
        <w:ind w:left="4354" w:hanging="180"/>
      </w:pPr>
    </w:lvl>
    <w:lvl w:ilvl="6" w:tplc="0402000F" w:tentative="1">
      <w:start w:val="1"/>
      <w:numFmt w:val="decimal"/>
      <w:lvlText w:val="%7."/>
      <w:lvlJc w:val="left"/>
      <w:pPr>
        <w:ind w:left="5074" w:hanging="360"/>
      </w:pPr>
    </w:lvl>
    <w:lvl w:ilvl="7" w:tplc="04020019" w:tentative="1">
      <w:start w:val="1"/>
      <w:numFmt w:val="lowerLetter"/>
      <w:lvlText w:val="%8."/>
      <w:lvlJc w:val="left"/>
      <w:pPr>
        <w:ind w:left="5794" w:hanging="360"/>
      </w:pPr>
    </w:lvl>
    <w:lvl w:ilvl="8" w:tplc="040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6B18586F"/>
    <w:multiLevelType w:val="hybridMultilevel"/>
    <w:tmpl w:val="D2349886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3"/>
  </w:num>
  <w:num w:numId="5">
    <w:abstractNumId w:val="0"/>
  </w:num>
  <w:num w:numId="6">
    <w:abstractNumId w:val="2"/>
  </w:num>
  <w:num w:numId="7">
    <w:abstractNumId w:val="7"/>
  </w:num>
  <w:num w:numId="8">
    <w:abstractNumId w:val="17"/>
  </w:num>
  <w:num w:numId="9">
    <w:abstractNumId w:val="12"/>
  </w:num>
  <w:num w:numId="10">
    <w:abstractNumId w:val="1"/>
  </w:num>
  <w:num w:numId="11">
    <w:abstractNumId w:val="9"/>
  </w:num>
  <w:num w:numId="12">
    <w:abstractNumId w:val="14"/>
  </w:num>
  <w:num w:numId="13">
    <w:abstractNumId w:val="3"/>
  </w:num>
  <w:num w:numId="14">
    <w:abstractNumId w:val="15"/>
  </w:num>
  <w:num w:numId="15">
    <w:abstractNumId w:val="6"/>
  </w:num>
  <w:num w:numId="16">
    <w:abstractNumId w:val="8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еорги Петров">
    <w15:presenceInfo w15:providerId="None" w15:userId="Георги Петров"/>
  </w15:person>
  <w15:person w15:author="Galina Zlatinova">
    <w15:presenceInfo w15:providerId="AD" w15:userId="S::zlatinova.g@bdbank.bg::5fbb23f6-fcee-491a-926b-a047d6f4d710"/>
  </w15:person>
  <w15:person w15:author="Borislav D. Bogdanov">
    <w15:presenceInfo w15:providerId="AD" w15:userId="S-1-5-21-527237240-1788223648-682003330-7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78"/>
    <w:rsid w:val="000141CF"/>
    <w:rsid w:val="000179EB"/>
    <w:rsid w:val="0002263F"/>
    <w:rsid w:val="00024FEC"/>
    <w:rsid w:val="00041A32"/>
    <w:rsid w:val="00042091"/>
    <w:rsid w:val="00050BE4"/>
    <w:rsid w:val="0005630D"/>
    <w:rsid w:val="00065C40"/>
    <w:rsid w:val="00067B83"/>
    <w:rsid w:val="00072C68"/>
    <w:rsid w:val="000812FB"/>
    <w:rsid w:val="0008328B"/>
    <w:rsid w:val="0008542D"/>
    <w:rsid w:val="000855C3"/>
    <w:rsid w:val="0009048E"/>
    <w:rsid w:val="00093800"/>
    <w:rsid w:val="000C6291"/>
    <w:rsid w:val="000D0B8A"/>
    <w:rsid w:val="000D52A2"/>
    <w:rsid w:val="000E2208"/>
    <w:rsid w:val="000F3A2C"/>
    <w:rsid w:val="000F3E37"/>
    <w:rsid w:val="000F7AFA"/>
    <w:rsid w:val="00105E6B"/>
    <w:rsid w:val="00112BFD"/>
    <w:rsid w:val="00117407"/>
    <w:rsid w:val="001245B9"/>
    <w:rsid w:val="001343D5"/>
    <w:rsid w:val="00142282"/>
    <w:rsid w:val="0014461E"/>
    <w:rsid w:val="00145B08"/>
    <w:rsid w:val="00157849"/>
    <w:rsid w:val="001610D0"/>
    <w:rsid w:val="0016448A"/>
    <w:rsid w:val="0016688A"/>
    <w:rsid w:val="001737F0"/>
    <w:rsid w:val="001741F4"/>
    <w:rsid w:val="001767A5"/>
    <w:rsid w:val="0018529E"/>
    <w:rsid w:val="00196CA7"/>
    <w:rsid w:val="0019704E"/>
    <w:rsid w:val="001A0614"/>
    <w:rsid w:val="001B57D8"/>
    <w:rsid w:val="001C061E"/>
    <w:rsid w:val="001C6F6D"/>
    <w:rsid w:val="001D3152"/>
    <w:rsid w:val="0020062C"/>
    <w:rsid w:val="00212162"/>
    <w:rsid w:val="00224C26"/>
    <w:rsid w:val="00226DFE"/>
    <w:rsid w:val="00226E50"/>
    <w:rsid w:val="002278A8"/>
    <w:rsid w:val="00227CDE"/>
    <w:rsid w:val="002335B3"/>
    <w:rsid w:val="002339F4"/>
    <w:rsid w:val="002378E0"/>
    <w:rsid w:val="00242F60"/>
    <w:rsid w:val="00244C5B"/>
    <w:rsid w:val="0024514B"/>
    <w:rsid w:val="002527ED"/>
    <w:rsid w:val="0025411B"/>
    <w:rsid w:val="0026529D"/>
    <w:rsid w:val="00267E64"/>
    <w:rsid w:val="00270F3E"/>
    <w:rsid w:val="002712FF"/>
    <w:rsid w:val="002720BD"/>
    <w:rsid w:val="00272BD0"/>
    <w:rsid w:val="0027670B"/>
    <w:rsid w:val="0027793B"/>
    <w:rsid w:val="00280A1E"/>
    <w:rsid w:val="00291937"/>
    <w:rsid w:val="00292542"/>
    <w:rsid w:val="002A0678"/>
    <w:rsid w:val="002B1878"/>
    <w:rsid w:val="002B570C"/>
    <w:rsid w:val="002C3E96"/>
    <w:rsid w:val="002C3F41"/>
    <w:rsid w:val="002D06EA"/>
    <w:rsid w:val="002D1FAF"/>
    <w:rsid w:val="002D6753"/>
    <w:rsid w:val="002E0B15"/>
    <w:rsid w:val="002E2E8F"/>
    <w:rsid w:val="003000ED"/>
    <w:rsid w:val="00304EC2"/>
    <w:rsid w:val="00314C26"/>
    <w:rsid w:val="00322842"/>
    <w:rsid w:val="00337F3D"/>
    <w:rsid w:val="00342129"/>
    <w:rsid w:val="00343A9F"/>
    <w:rsid w:val="0035027C"/>
    <w:rsid w:val="0036397C"/>
    <w:rsid w:val="00366AF8"/>
    <w:rsid w:val="00367E51"/>
    <w:rsid w:val="003755F3"/>
    <w:rsid w:val="003817C3"/>
    <w:rsid w:val="003847CB"/>
    <w:rsid w:val="003866F4"/>
    <w:rsid w:val="00390688"/>
    <w:rsid w:val="003906D0"/>
    <w:rsid w:val="00390FF7"/>
    <w:rsid w:val="003A0D10"/>
    <w:rsid w:val="003A35E1"/>
    <w:rsid w:val="003B0CFF"/>
    <w:rsid w:val="003B11BD"/>
    <w:rsid w:val="003C2480"/>
    <w:rsid w:val="003C34A0"/>
    <w:rsid w:val="003C53C1"/>
    <w:rsid w:val="003D4536"/>
    <w:rsid w:val="003E52C9"/>
    <w:rsid w:val="003F0EE0"/>
    <w:rsid w:val="003F22D3"/>
    <w:rsid w:val="003F6A64"/>
    <w:rsid w:val="004021FA"/>
    <w:rsid w:val="00405117"/>
    <w:rsid w:val="0040734E"/>
    <w:rsid w:val="0041032F"/>
    <w:rsid w:val="004226DC"/>
    <w:rsid w:val="00427246"/>
    <w:rsid w:val="0042766D"/>
    <w:rsid w:val="00433602"/>
    <w:rsid w:val="004436E2"/>
    <w:rsid w:val="00450566"/>
    <w:rsid w:val="004537AB"/>
    <w:rsid w:val="004718BA"/>
    <w:rsid w:val="00471E95"/>
    <w:rsid w:val="00480CD1"/>
    <w:rsid w:val="0048712F"/>
    <w:rsid w:val="00490B7E"/>
    <w:rsid w:val="00492E65"/>
    <w:rsid w:val="0049414A"/>
    <w:rsid w:val="004A0A8B"/>
    <w:rsid w:val="004C4DE2"/>
    <w:rsid w:val="004D28CE"/>
    <w:rsid w:val="004D2EE6"/>
    <w:rsid w:val="004D709B"/>
    <w:rsid w:val="004D709F"/>
    <w:rsid w:val="004E02C8"/>
    <w:rsid w:val="004F08C4"/>
    <w:rsid w:val="004F0D3D"/>
    <w:rsid w:val="004F6024"/>
    <w:rsid w:val="004F61BE"/>
    <w:rsid w:val="005061C0"/>
    <w:rsid w:val="005069FD"/>
    <w:rsid w:val="0050790C"/>
    <w:rsid w:val="005106DA"/>
    <w:rsid w:val="0051351A"/>
    <w:rsid w:val="00514CC2"/>
    <w:rsid w:val="00522927"/>
    <w:rsid w:val="0056057E"/>
    <w:rsid w:val="005626A8"/>
    <w:rsid w:val="005840C1"/>
    <w:rsid w:val="00584D88"/>
    <w:rsid w:val="00590860"/>
    <w:rsid w:val="0059424C"/>
    <w:rsid w:val="00594C85"/>
    <w:rsid w:val="005A20EC"/>
    <w:rsid w:val="005A370D"/>
    <w:rsid w:val="005B5362"/>
    <w:rsid w:val="005C49B8"/>
    <w:rsid w:val="005E0B02"/>
    <w:rsid w:val="005E15FB"/>
    <w:rsid w:val="005E61C7"/>
    <w:rsid w:val="00600617"/>
    <w:rsid w:val="006059F2"/>
    <w:rsid w:val="00605FA9"/>
    <w:rsid w:val="00607030"/>
    <w:rsid w:val="006070F2"/>
    <w:rsid w:val="00613B2F"/>
    <w:rsid w:val="00620589"/>
    <w:rsid w:val="00626EBF"/>
    <w:rsid w:val="0063460D"/>
    <w:rsid w:val="00635126"/>
    <w:rsid w:val="00636E57"/>
    <w:rsid w:val="0064097B"/>
    <w:rsid w:val="006432A3"/>
    <w:rsid w:val="00654867"/>
    <w:rsid w:val="006554CF"/>
    <w:rsid w:val="00660C7A"/>
    <w:rsid w:val="00660C85"/>
    <w:rsid w:val="006649BB"/>
    <w:rsid w:val="00665EDD"/>
    <w:rsid w:val="006744E3"/>
    <w:rsid w:val="00681006"/>
    <w:rsid w:val="00681CCA"/>
    <w:rsid w:val="00684DA1"/>
    <w:rsid w:val="00693E81"/>
    <w:rsid w:val="006A3B8B"/>
    <w:rsid w:val="006A3C8A"/>
    <w:rsid w:val="006B1293"/>
    <w:rsid w:val="006B1D8B"/>
    <w:rsid w:val="006B7971"/>
    <w:rsid w:val="006C0ADD"/>
    <w:rsid w:val="006C517B"/>
    <w:rsid w:val="006C6F9D"/>
    <w:rsid w:val="00700C1E"/>
    <w:rsid w:val="00701B5F"/>
    <w:rsid w:val="00705F48"/>
    <w:rsid w:val="007139FE"/>
    <w:rsid w:val="00714C2B"/>
    <w:rsid w:val="0072542C"/>
    <w:rsid w:val="00733804"/>
    <w:rsid w:val="00734795"/>
    <w:rsid w:val="007359E2"/>
    <w:rsid w:val="007370CA"/>
    <w:rsid w:val="007373DD"/>
    <w:rsid w:val="00740164"/>
    <w:rsid w:val="00745AF2"/>
    <w:rsid w:val="00751410"/>
    <w:rsid w:val="00752CB3"/>
    <w:rsid w:val="007542C4"/>
    <w:rsid w:val="00757855"/>
    <w:rsid w:val="0077110F"/>
    <w:rsid w:val="00774698"/>
    <w:rsid w:val="00780A21"/>
    <w:rsid w:val="0078660F"/>
    <w:rsid w:val="00787372"/>
    <w:rsid w:val="00787FBD"/>
    <w:rsid w:val="00792384"/>
    <w:rsid w:val="00795542"/>
    <w:rsid w:val="00797CE2"/>
    <w:rsid w:val="007A1169"/>
    <w:rsid w:val="007A4680"/>
    <w:rsid w:val="007B07F1"/>
    <w:rsid w:val="007B6723"/>
    <w:rsid w:val="007B7405"/>
    <w:rsid w:val="007C2A59"/>
    <w:rsid w:val="007C3550"/>
    <w:rsid w:val="007C5E47"/>
    <w:rsid w:val="007D46A2"/>
    <w:rsid w:val="007D4B68"/>
    <w:rsid w:val="007E0595"/>
    <w:rsid w:val="007E189E"/>
    <w:rsid w:val="007E1C62"/>
    <w:rsid w:val="007E4FAE"/>
    <w:rsid w:val="007E7C0D"/>
    <w:rsid w:val="007F010D"/>
    <w:rsid w:val="007F0BF4"/>
    <w:rsid w:val="007F4976"/>
    <w:rsid w:val="007F6B8B"/>
    <w:rsid w:val="00802456"/>
    <w:rsid w:val="008179D9"/>
    <w:rsid w:val="008219DC"/>
    <w:rsid w:val="008220D3"/>
    <w:rsid w:val="0082488D"/>
    <w:rsid w:val="008369B1"/>
    <w:rsid w:val="0084216F"/>
    <w:rsid w:val="00842652"/>
    <w:rsid w:val="0085063C"/>
    <w:rsid w:val="0085104A"/>
    <w:rsid w:val="00852689"/>
    <w:rsid w:val="008606A3"/>
    <w:rsid w:val="00861F0B"/>
    <w:rsid w:val="00876E4E"/>
    <w:rsid w:val="00880851"/>
    <w:rsid w:val="0088341B"/>
    <w:rsid w:val="008840F0"/>
    <w:rsid w:val="00895BE7"/>
    <w:rsid w:val="008B072C"/>
    <w:rsid w:val="008C22A9"/>
    <w:rsid w:val="008C6C85"/>
    <w:rsid w:val="008D1275"/>
    <w:rsid w:val="008D1C58"/>
    <w:rsid w:val="008F2E43"/>
    <w:rsid w:val="008F38B2"/>
    <w:rsid w:val="008F4CAD"/>
    <w:rsid w:val="008F50B3"/>
    <w:rsid w:val="009126E1"/>
    <w:rsid w:val="00927E51"/>
    <w:rsid w:val="00933036"/>
    <w:rsid w:val="0095103F"/>
    <w:rsid w:val="00954B56"/>
    <w:rsid w:val="00957BE6"/>
    <w:rsid w:val="009602E1"/>
    <w:rsid w:val="00960CDB"/>
    <w:rsid w:val="009725EB"/>
    <w:rsid w:val="00974AD8"/>
    <w:rsid w:val="009835E9"/>
    <w:rsid w:val="00987667"/>
    <w:rsid w:val="00991951"/>
    <w:rsid w:val="009B7A49"/>
    <w:rsid w:val="009B7C29"/>
    <w:rsid w:val="009C1183"/>
    <w:rsid w:val="009C467F"/>
    <w:rsid w:val="009D1A6E"/>
    <w:rsid w:val="009D797F"/>
    <w:rsid w:val="009F0A3A"/>
    <w:rsid w:val="00A01DEE"/>
    <w:rsid w:val="00A0283E"/>
    <w:rsid w:val="00A04260"/>
    <w:rsid w:val="00A05C2C"/>
    <w:rsid w:val="00A06CEA"/>
    <w:rsid w:val="00A115C6"/>
    <w:rsid w:val="00A17A21"/>
    <w:rsid w:val="00A204E6"/>
    <w:rsid w:val="00A26449"/>
    <w:rsid w:val="00A37E5C"/>
    <w:rsid w:val="00A41692"/>
    <w:rsid w:val="00A65A1F"/>
    <w:rsid w:val="00A910C1"/>
    <w:rsid w:val="00A91DC3"/>
    <w:rsid w:val="00A95ECD"/>
    <w:rsid w:val="00AA20EE"/>
    <w:rsid w:val="00AB035D"/>
    <w:rsid w:val="00AB0875"/>
    <w:rsid w:val="00AB32E7"/>
    <w:rsid w:val="00AC3461"/>
    <w:rsid w:val="00AD0679"/>
    <w:rsid w:val="00AD59A3"/>
    <w:rsid w:val="00AD61BF"/>
    <w:rsid w:val="00AE744E"/>
    <w:rsid w:val="00AF6B7B"/>
    <w:rsid w:val="00B014DB"/>
    <w:rsid w:val="00B0282A"/>
    <w:rsid w:val="00B02F55"/>
    <w:rsid w:val="00B203D0"/>
    <w:rsid w:val="00B20EB2"/>
    <w:rsid w:val="00B21F1E"/>
    <w:rsid w:val="00B305F4"/>
    <w:rsid w:val="00B40073"/>
    <w:rsid w:val="00B403FB"/>
    <w:rsid w:val="00B41BA7"/>
    <w:rsid w:val="00B441BF"/>
    <w:rsid w:val="00B470D0"/>
    <w:rsid w:val="00B5197D"/>
    <w:rsid w:val="00B549EF"/>
    <w:rsid w:val="00B6514C"/>
    <w:rsid w:val="00B70898"/>
    <w:rsid w:val="00B7108A"/>
    <w:rsid w:val="00B81FA2"/>
    <w:rsid w:val="00BA057D"/>
    <w:rsid w:val="00BA12B2"/>
    <w:rsid w:val="00BA4A7D"/>
    <w:rsid w:val="00BB1D77"/>
    <w:rsid w:val="00BC41D9"/>
    <w:rsid w:val="00BC676D"/>
    <w:rsid w:val="00BD3972"/>
    <w:rsid w:val="00BE03E0"/>
    <w:rsid w:val="00BE0B06"/>
    <w:rsid w:val="00BE3EE0"/>
    <w:rsid w:val="00BF36AB"/>
    <w:rsid w:val="00BF591B"/>
    <w:rsid w:val="00C0173A"/>
    <w:rsid w:val="00C05736"/>
    <w:rsid w:val="00C05A70"/>
    <w:rsid w:val="00C170AD"/>
    <w:rsid w:val="00C200CE"/>
    <w:rsid w:val="00C21CFF"/>
    <w:rsid w:val="00C2335D"/>
    <w:rsid w:val="00C2509C"/>
    <w:rsid w:val="00C27C96"/>
    <w:rsid w:val="00C27CE5"/>
    <w:rsid w:val="00C33DE1"/>
    <w:rsid w:val="00C36C1F"/>
    <w:rsid w:val="00C41CD1"/>
    <w:rsid w:val="00C43922"/>
    <w:rsid w:val="00C46C84"/>
    <w:rsid w:val="00C5394E"/>
    <w:rsid w:val="00C57750"/>
    <w:rsid w:val="00C6501B"/>
    <w:rsid w:val="00C66C76"/>
    <w:rsid w:val="00C6709B"/>
    <w:rsid w:val="00C7203D"/>
    <w:rsid w:val="00C760D7"/>
    <w:rsid w:val="00C76ECC"/>
    <w:rsid w:val="00C80D6F"/>
    <w:rsid w:val="00C82D11"/>
    <w:rsid w:val="00C847DE"/>
    <w:rsid w:val="00C91504"/>
    <w:rsid w:val="00C97723"/>
    <w:rsid w:val="00CA3DE9"/>
    <w:rsid w:val="00CA486D"/>
    <w:rsid w:val="00CA7087"/>
    <w:rsid w:val="00CB2230"/>
    <w:rsid w:val="00CB3D53"/>
    <w:rsid w:val="00CB6CAF"/>
    <w:rsid w:val="00CB79DD"/>
    <w:rsid w:val="00CC20C0"/>
    <w:rsid w:val="00CC2792"/>
    <w:rsid w:val="00CD2255"/>
    <w:rsid w:val="00CD3268"/>
    <w:rsid w:val="00CE4990"/>
    <w:rsid w:val="00CE57E2"/>
    <w:rsid w:val="00CF1A7A"/>
    <w:rsid w:val="00D03834"/>
    <w:rsid w:val="00D114D1"/>
    <w:rsid w:val="00D13FC5"/>
    <w:rsid w:val="00D14196"/>
    <w:rsid w:val="00D339B6"/>
    <w:rsid w:val="00D4521E"/>
    <w:rsid w:val="00D47F52"/>
    <w:rsid w:val="00D502EB"/>
    <w:rsid w:val="00D52E53"/>
    <w:rsid w:val="00D60FB3"/>
    <w:rsid w:val="00D62593"/>
    <w:rsid w:val="00D70461"/>
    <w:rsid w:val="00D74471"/>
    <w:rsid w:val="00D76013"/>
    <w:rsid w:val="00D76859"/>
    <w:rsid w:val="00D76FFF"/>
    <w:rsid w:val="00D84C04"/>
    <w:rsid w:val="00D86EC1"/>
    <w:rsid w:val="00D92B8C"/>
    <w:rsid w:val="00D9301F"/>
    <w:rsid w:val="00DA065C"/>
    <w:rsid w:val="00DA4F2D"/>
    <w:rsid w:val="00DB0A08"/>
    <w:rsid w:val="00DC2852"/>
    <w:rsid w:val="00DC3F13"/>
    <w:rsid w:val="00DC46FB"/>
    <w:rsid w:val="00DC6AA2"/>
    <w:rsid w:val="00DE194D"/>
    <w:rsid w:val="00DE2884"/>
    <w:rsid w:val="00DE3163"/>
    <w:rsid w:val="00DE56E5"/>
    <w:rsid w:val="00DE6A06"/>
    <w:rsid w:val="00DF2868"/>
    <w:rsid w:val="00E02C6A"/>
    <w:rsid w:val="00E07ECA"/>
    <w:rsid w:val="00E20EE5"/>
    <w:rsid w:val="00E23352"/>
    <w:rsid w:val="00E23414"/>
    <w:rsid w:val="00E3169D"/>
    <w:rsid w:val="00E316CA"/>
    <w:rsid w:val="00E34202"/>
    <w:rsid w:val="00E35CC4"/>
    <w:rsid w:val="00E37661"/>
    <w:rsid w:val="00E435E9"/>
    <w:rsid w:val="00E5109A"/>
    <w:rsid w:val="00E546F2"/>
    <w:rsid w:val="00E5682F"/>
    <w:rsid w:val="00E60E23"/>
    <w:rsid w:val="00E7169C"/>
    <w:rsid w:val="00E71BB4"/>
    <w:rsid w:val="00E76224"/>
    <w:rsid w:val="00E808FD"/>
    <w:rsid w:val="00E9381F"/>
    <w:rsid w:val="00E94256"/>
    <w:rsid w:val="00E97C4B"/>
    <w:rsid w:val="00EA7460"/>
    <w:rsid w:val="00EC40F0"/>
    <w:rsid w:val="00EC4E35"/>
    <w:rsid w:val="00EC5AC9"/>
    <w:rsid w:val="00ED725B"/>
    <w:rsid w:val="00EE0E29"/>
    <w:rsid w:val="00EF05B9"/>
    <w:rsid w:val="00EF2A6A"/>
    <w:rsid w:val="00EF49EA"/>
    <w:rsid w:val="00EF5812"/>
    <w:rsid w:val="00F02C65"/>
    <w:rsid w:val="00F05D31"/>
    <w:rsid w:val="00F2066E"/>
    <w:rsid w:val="00F2637E"/>
    <w:rsid w:val="00F326AC"/>
    <w:rsid w:val="00F33000"/>
    <w:rsid w:val="00F3465C"/>
    <w:rsid w:val="00F4264B"/>
    <w:rsid w:val="00F4418A"/>
    <w:rsid w:val="00F4624B"/>
    <w:rsid w:val="00F51F17"/>
    <w:rsid w:val="00F619C2"/>
    <w:rsid w:val="00F62240"/>
    <w:rsid w:val="00F64236"/>
    <w:rsid w:val="00F67067"/>
    <w:rsid w:val="00F67BFD"/>
    <w:rsid w:val="00F7321E"/>
    <w:rsid w:val="00F73D18"/>
    <w:rsid w:val="00F76172"/>
    <w:rsid w:val="00F76DF3"/>
    <w:rsid w:val="00F77BC5"/>
    <w:rsid w:val="00F809B7"/>
    <w:rsid w:val="00F85B03"/>
    <w:rsid w:val="00F957F5"/>
    <w:rsid w:val="00FB2B6F"/>
    <w:rsid w:val="00FB4D1A"/>
    <w:rsid w:val="00FC1F36"/>
    <w:rsid w:val="00FC218C"/>
    <w:rsid w:val="00FE5AFB"/>
    <w:rsid w:val="00FE6DF8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1B5CF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187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878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2B187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ntStyle11">
    <w:name w:val="Font Style11"/>
    <w:uiPriority w:val="99"/>
    <w:rsid w:val="002B187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B1878"/>
    <w:pPr>
      <w:ind w:left="720"/>
      <w:contextualSpacing/>
    </w:pPr>
  </w:style>
  <w:style w:type="paragraph" w:styleId="CommentText">
    <w:name w:val="annotation text"/>
    <w:basedOn w:val="Normal"/>
    <w:link w:val="CommentTextChar1"/>
    <w:rsid w:val="002B18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2B1878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2B187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D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275"/>
  </w:style>
  <w:style w:type="paragraph" w:styleId="Footer">
    <w:name w:val="footer"/>
    <w:basedOn w:val="Normal"/>
    <w:link w:val="FooterChar"/>
    <w:uiPriority w:val="99"/>
    <w:unhideWhenUsed/>
    <w:rsid w:val="008D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275"/>
  </w:style>
  <w:style w:type="paragraph" w:styleId="BalloonText">
    <w:name w:val="Balloon Text"/>
    <w:basedOn w:val="Normal"/>
    <w:link w:val="BalloonTextChar"/>
    <w:uiPriority w:val="99"/>
    <w:semiHidden/>
    <w:unhideWhenUsed/>
    <w:rsid w:val="00BD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72"/>
    <w:rPr>
      <w:rFonts w:ascii="Tahoma" w:hAnsi="Tahoma" w:cs="Tahoma"/>
      <w:sz w:val="16"/>
      <w:szCs w:val="16"/>
    </w:rPr>
  </w:style>
  <w:style w:type="character" w:customStyle="1" w:styleId="WW8Num2z1">
    <w:name w:val="WW8Num2z1"/>
    <w:rsid w:val="00802456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226E5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E0B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6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F3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bg-BG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76DF3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legaldocreference">
    <w:name w:val="legaldocreference"/>
    <w:basedOn w:val="DefaultParagraphFont"/>
    <w:rsid w:val="00CE4990"/>
  </w:style>
  <w:style w:type="paragraph" w:styleId="NormalWeb">
    <w:name w:val="Normal (Web)"/>
    <w:basedOn w:val="Normal"/>
    <w:uiPriority w:val="99"/>
    <w:semiHidden/>
    <w:unhideWhenUsed/>
    <w:rsid w:val="0036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56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187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878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2B187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ntStyle11">
    <w:name w:val="Font Style11"/>
    <w:uiPriority w:val="99"/>
    <w:rsid w:val="002B187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B1878"/>
    <w:pPr>
      <w:ind w:left="720"/>
      <w:contextualSpacing/>
    </w:pPr>
  </w:style>
  <w:style w:type="paragraph" w:styleId="CommentText">
    <w:name w:val="annotation text"/>
    <w:basedOn w:val="Normal"/>
    <w:link w:val="CommentTextChar1"/>
    <w:rsid w:val="002B18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2B1878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2B187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D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275"/>
  </w:style>
  <w:style w:type="paragraph" w:styleId="Footer">
    <w:name w:val="footer"/>
    <w:basedOn w:val="Normal"/>
    <w:link w:val="FooterChar"/>
    <w:uiPriority w:val="99"/>
    <w:unhideWhenUsed/>
    <w:rsid w:val="008D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275"/>
  </w:style>
  <w:style w:type="paragraph" w:styleId="BalloonText">
    <w:name w:val="Balloon Text"/>
    <w:basedOn w:val="Normal"/>
    <w:link w:val="BalloonTextChar"/>
    <w:uiPriority w:val="99"/>
    <w:semiHidden/>
    <w:unhideWhenUsed/>
    <w:rsid w:val="00BD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72"/>
    <w:rPr>
      <w:rFonts w:ascii="Tahoma" w:hAnsi="Tahoma" w:cs="Tahoma"/>
      <w:sz w:val="16"/>
      <w:szCs w:val="16"/>
    </w:rPr>
  </w:style>
  <w:style w:type="character" w:customStyle="1" w:styleId="WW8Num2z1">
    <w:name w:val="WW8Num2z1"/>
    <w:rsid w:val="00802456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226E5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E0B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6D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F3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bg-BG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76DF3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legaldocreference">
    <w:name w:val="legaldocreference"/>
    <w:basedOn w:val="DefaultParagraphFont"/>
    <w:rsid w:val="00CE4990"/>
  </w:style>
  <w:style w:type="paragraph" w:styleId="NormalWeb">
    <w:name w:val="Normal (Web)"/>
    <w:basedOn w:val="Normal"/>
    <w:uiPriority w:val="99"/>
    <w:semiHidden/>
    <w:unhideWhenUsed/>
    <w:rsid w:val="0036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56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392B-1576-4F5E-BF90-8F48844B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2460</Words>
  <Characters>14027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sotirov.m</dc:creator>
  <cp:lastModifiedBy>Kostadin Pankov</cp:lastModifiedBy>
  <cp:revision>2</cp:revision>
  <cp:lastPrinted>2022-03-08T12:28:00Z</cp:lastPrinted>
  <dcterms:created xsi:type="dcterms:W3CDTF">2022-03-16T12:35:00Z</dcterms:created>
  <dcterms:modified xsi:type="dcterms:W3CDTF">2022-03-16T12:35:00Z</dcterms:modified>
</cp:coreProperties>
</file>